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5630A" w14:textId="6FACD869" w:rsidR="003C4D29" w:rsidRPr="003C4D29" w:rsidRDefault="003C4D29" w:rsidP="007C13F7">
      <w:pPr>
        <w:rPr>
          <w:rFonts w:ascii="Times New Roman" w:hAnsi="Times New Roman" w:cs="Times New Roman"/>
          <w:b/>
          <w:bCs/>
        </w:rPr>
      </w:pPr>
      <w:r w:rsidRPr="003C4D29">
        <w:rPr>
          <w:rFonts w:ascii="Times New Roman" w:hAnsi="Times New Roman" w:cs="Times New Roman"/>
          <w:b/>
          <w:bCs/>
        </w:rPr>
        <w:t>Propuesta SROI para monetizar los impactos socioambientales del negocio Casa Para Mí</w:t>
      </w:r>
    </w:p>
    <w:p w14:paraId="6812171D" w14:textId="39954644" w:rsidR="007C13F7" w:rsidRPr="007C13F7" w:rsidRDefault="007C13F7" w:rsidP="007C13F7">
      <w:pPr>
        <w:rPr>
          <w:rFonts w:ascii="Times New Roman" w:hAnsi="Times New Roman" w:cs="Times New Roman"/>
        </w:rPr>
      </w:pPr>
      <w:r w:rsidRPr="007C13F7">
        <w:rPr>
          <w:rFonts w:ascii="Times New Roman" w:hAnsi="Times New Roman" w:cs="Times New Roman"/>
        </w:rPr>
        <w:t xml:space="preserve">En el marco del proyecto de investigación “Impacto en la vivienda social, modelo Casa para Mí: Análisis socioambiental”, el uso de la metodología </w:t>
      </w:r>
      <w:r w:rsidRPr="007C13F7">
        <w:rPr>
          <w:rFonts w:ascii="Times New Roman" w:hAnsi="Times New Roman" w:cs="Times New Roman"/>
          <w:b/>
          <w:bCs/>
        </w:rPr>
        <w:t>Social Return on Investment (SROI)</w:t>
      </w:r>
      <w:r w:rsidRPr="007C13F7">
        <w:rPr>
          <w:rFonts w:ascii="Times New Roman" w:hAnsi="Times New Roman" w:cs="Times New Roman"/>
        </w:rPr>
        <w:t xml:space="preserve"> se </w:t>
      </w:r>
      <w:r w:rsidR="003C4D29">
        <w:rPr>
          <w:rFonts w:ascii="Times New Roman" w:hAnsi="Times New Roman" w:cs="Times New Roman"/>
        </w:rPr>
        <w:t>propone</w:t>
      </w:r>
      <w:r w:rsidRPr="007C13F7">
        <w:rPr>
          <w:rFonts w:ascii="Times New Roman" w:hAnsi="Times New Roman" w:cs="Times New Roman"/>
        </w:rPr>
        <w:t xml:space="preserve"> como el enfoque más pertinente y estratégico para valorar el impacto del programa en las dimensiones social, ambiental y económica. Esta decisión metodológica se fundamenta en cinco razones principales:</w:t>
      </w:r>
    </w:p>
    <w:p w14:paraId="190DA25B" w14:textId="77777777" w:rsidR="007C13F7" w:rsidRPr="007C13F7" w:rsidRDefault="007C13F7" w:rsidP="007C13F7">
      <w:pPr>
        <w:rPr>
          <w:rFonts w:ascii="Times New Roman" w:hAnsi="Times New Roman" w:cs="Times New Roman"/>
          <w:b/>
          <w:bCs/>
        </w:rPr>
      </w:pPr>
      <w:r w:rsidRPr="007C13F7">
        <w:rPr>
          <w:rFonts w:ascii="Times New Roman" w:hAnsi="Times New Roman" w:cs="Times New Roman"/>
          <w:b/>
          <w:bCs/>
        </w:rPr>
        <w:t>1. Permite traducir el valor social y ambiental a un lenguaje financiero comprensible</w:t>
      </w:r>
    </w:p>
    <w:p w14:paraId="3B1A4956" w14:textId="77777777" w:rsidR="007C13F7" w:rsidRPr="007C13F7" w:rsidRDefault="007C13F7" w:rsidP="007C13F7">
      <w:pPr>
        <w:rPr>
          <w:rFonts w:ascii="Times New Roman" w:hAnsi="Times New Roman" w:cs="Times New Roman"/>
        </w:rPr>
      </w:pPr>
      <w:r w:rsidRPr="007C13F7">
        <w:rPr>
          <w:rFonts w:ascii="Times New Roman" w:hAnsi="Times New Roman" w:cs="Times New Roman"/>
        </w:rPr>
        <w:t xml:space="preserve">El SROI convierte resultados intangibles como bienestar, inclusión, salud o calidad de vida en </w:t>
      </w:r>
      <w:r w:rsidRPr="007C13F7">
        <w:rPr>
          <w:rFonts w:ascii="Times New Roman" w:hAnsi="Times New Roman" w:cs="Times New Roman"/>
          <w:b/>
          <w:bCs/>
        </w:rPr>
        <w:t>valores monetarios</w:t>
      </w:r>
      <w:r w:rsidRPr="007C13F7">
        <w:rPr>
          <w:rFonts w:ascii="Times New Roman" w:hAnsi="Times New Roman" w:cs="Times New Roman"/>
        </w:rPr>
        <w:t xml:space="preserve">, lo cual permite estimar un </w:t>
      </w:r>
      <w:r w:rsidRPr="007C13F7">
        <w:rPr>
          <w:rFonts w:ascii="Times New Roman" w:hAnsi="Times New Roman" w:cs="Times New Roman"/>
          <w:b/>
          <w:bCs/>
        </w:rPr>
        <w:t>retorno por cada peso invertido</w:t>
      </w:r>
      <w:r w:rsidRPr="007C13F7">
        <w:rPr>
          <w:rFonts w:ascii="Times New Roman" w:hAnsi="Times New Roman" w:cs="Times New Roman"/>
        </w:rPr>
        <w:t xml:space="preserve">. Esta cuantificación facilita la comunicación con stakeholders diversos (empresas, gobiernos, donantes, inversionistas de impacto), permitiendo demostrar que el modelo </w:t>
      </w:r>
      <w:r w:rsidRPr="007C13F7">
        <w:rPr>
          <w:rFonts w:ascii="Times New Roman" w:hAnsi="Times New Roman" w:cs="Times New Roman"/>
          <w:i/>
          <w:iCs/>
        </w:rPr>
        <w:t>Casa para Mí</w:t>
      </w:r>
      <w:r w:rsidRPr="007C13F7">
        <w:rPr>
          <w:rFonts w:ascii="Times New Roman" w:hAnsi="Times New Roman" w:cs="Times New Roman"/>
        </w:rPr>
        <w:t xml:space="preserve"> no solo es funcional, sino también rentable desde un enfoque de valor compartido.</w:t>
      </w:r>
    </w:p>
    <w:p w14:paraId="7A7C3EA2" w14:textId="77777777" w:rsidR="007C13F7" w:rsidRPr="007C13F7" w:rsidRDefault="007C13F7" w:rsidP="007C13F7">
      <w:pPr>
        <w:rPr>
          <w:rFonts w:ascii="Times New Roman" w:hAnsi="Times New Roman" w:cs="Times New Roman"/>
          <w:b/>
          <w:bCs/>
        </w:rPr>
      </w:pPr>
      <w:r w:rsidRPr="007C13F7">
        <w:rPr>
          <w:rFonts w:ascii="Times New Roman" w:hAnsi="Times New Roman" w:cs="Times New Roman"/>
          <w:b/>
          <w:bCs/>
        </w:rPr>
        <w:t>2. Fortalece la toma de decisiones estratégicas y la asignación eficiente de recursos</w:t>
      </w:r>
    </w:p>
    <w:p w14:paraId="0B7BB741" w14:textId="77777777" w:rsidR="007C13F7" w:rsidRPr="007C13F7" w:rsidRDefault="007C13F7" w:rsidP="007C13F7">
      <w:pPr>
        <w:rPr>
          <w:rFonts w:ascii="Times New Roman" w:hAnsi="Times New Roman" w:cs="Times New Roman"/>
        </w:rPr>
      </w:pPr>
      <w:r w:rsidRPr="007C13F7">
        <w:rPr>
          <w:rFonts w:ascii="Times New Roman" w:hAnsi="Times New Roman" w:cs="Times New Roman"/>
        </w:rPr>
        <w:t xml:space="preserve">A través de su enfoque estructurado en seis fases, el SROI permite identificar qué actividades generan mayor valor, dónde se pueden optimizar procesos y cómo escalar el modelo. Esto es clave para que empresas como </w:t>
      </w:r>
      <w:r w:rsidRPr="007C13F7">
        <w:rPr>
          <w:rFonts w:ascii="Times New Roman" w:hAnsi="Times New Roman" w:cs="Times New Roman"/>
          <w:b/>
          <w:bCs/>
        </w:rPr>
        <w:t>Cementos Argos</w:t>
      </w:r>
      <w:r w:rsidRPr="007C13F7">
        <w:rPr>
          <w:rFonts w:ascii="Times New Roman" w:hAnsi="Times New Roman" w:cs="Times New Roman"/>
        </w:rPr>
        <w:t>, entidades públicas o cooperantes puedan tomar decisiones basadas en evidencia para maximizar su impacto social.</w:t>
      </w:r>
    </w:p>
    <w:p w14:paraId="2431E965" w14:textId="77777777" w:rsidR="007C13F7" w:rsidRPr="007C13F7" w:rsidRDefault="007C13F7" w:rsidP="007C13F7">
      <w:pPr>
        <w:rPr>
          <w:rFonts w:ascii="Times New Roman" w:hAnsi="Times New Roman" w:cs="Times New Roman"/>
          <w:b/>
          <w:bCs/>
        </w:rPr>
      </w:pPr>
      <w:r w:rsidRPr="007C13F7">
        <w:rPr>
          <w:rFonts w:ascii="Times New Roman" w:hAnsi="Times New Roman" w:cs="Times New Roman"/>
          <w:b/>
          <w:bCs/>
        </w:rPr>
        <w:t>3. Reconoce y valida la voz de los beneficiarios en la medición de impacto</w:t>
      </w:r>
    </w:p>
    <w:p w14:paraId="29D384AF" w14:textId="77777777" w:rsidR="007C13F7" w:rsidRPr="007C13F7" w:rsidRDefault="007C13F7" w:rsidP="007C13F7">
      <w:pPr>
        <w:rPr>
          <w:rFonts w:ascii="Times New Roman" w:hAnsi="Times New Roman" w:cs="Times New Roman"/>
        </w:rPr>
      </w:pPr>
      <w:r w:rsidRPr="007C13F7">
        <w:rPr>
          <w:rFonts w:ascii="Times New Roman" w:hAnsi="Times New Roman" w:cs="Times New Roman"/>
        </w:rPr>
        <w:t>El SROI incorpora métodos participativos como talleres comunitarios y entrevistas en profundidad, que aseguran que los cambios valorados realmente reflejen las percepciones, necesidades y aspiraciones de las familias beneficiarias. Esto asegura la legitimidad del análisis y refuerza la justicia social en los procesos de evaluación.</w:t>
      </w:r>
    </w:p>
    <w:p w14:paraId="329601DF" w14:textId="77777777" w:rsidR="007C13F7" w:rsidRPr="007C13F7" w:rsidRDefault="007C13F7" w:rsidP="007C13F7">
      <w:pPr>
        <w:rPr>
          <w:rFonts w:ascii="Times New Roman" w:hAnsi="Times New Roman" w:cs="Times New Roman"/>
          <w:b/>
          <w:bCs/>
        </w:rPr>
      </w:pPr>
      <w:r w:rsidRPr="007C13F7">
        <w:rPr>
          <w:rFonts w:ascii="Times New Roman" w:hAnsi="Times New Roman" w:cs="Times New Roman"/>
          <w:b/>
          <w:bCs/>
        </w:rPr>
        <w:t>4. Integra una perspectiva de sostenibilidad y doble materialidad</w:t>
      </w:r>
    </w:p>
    <w:p w14:paraId="3FD288C0" w14:textId="77777777" w:rsidR="007C13F7" w:rsidRPr="00230B7D" w:rsidRDefault="007C13F7" w:rsidP="007C13F7">
      <w:pPr>
        <w:rPr>
          <w:rFonts w:ascii="Times New Roman" w:hAnsi="Times New Roman" w:cs="Times New Roman"/>
        </w:rPr>
      </w:pPr>
      <w:r w:rsidRPr="007C13F7">
        <w:rPr>
          <w:rFonts w:ascii="Times New Roman" w:hAnsi="Times New Roman" w:cs="Times New Roman"/>
        </w:rPr>
        <w:t xml:space="preserve">El modelo </w:t>
      </w:r>
      <w:r w:rsidRPr="007C13F7">
        <w:rPr>
          <w:rFonts w:ascii="Times New Roman" w:hAnsi="Times New Roman" w:cs="Times New Roman"/>
          <w:i/>
          <w:iCs/>
        </w:rPr>
        <w:t>Casa para Mí</w:t>
      </w:r>
      <w:r w:rsidRPr="007C13F7">
        <w:rPr>
          <w:rFonts w:ascii="Times New Roman" w:hAnsi="Times New Roman" w:cs="Times New Roman"/>
        </w:rPr>
        <w:t xml:space="preserve"> se estructura desde un enfoque de </w:t>
      </w:r>
      <w:r w:rsidRPr="007C13F7">
        <w:rPr>
          <w:rFonts w:ascii="Times New Roman" w:hAnsi="Times New Roman" w:cs="Times New Roman"/>
          <w:b/>
          <w:bCs/>
        </w:rPr>
        <w:t>valor compartido</w:t>
      </w:r>
      <w:r w:rsidRPr="007C13F7">
        <w:rPr>
          <w:rFonts w:ascii="Times New Roman" w:hAnsi="Times New Roman" w:cs="Times New Roman"/>
        </w:rPr>
        <w:t xml:space="preserve"> y de </w:t>
      </w:r>
      <w:r w:rsidRPr="007C13F7">
        <w:rPr>
          <w:rFonts w:ascii="Times New Roman" w:hAnsi="Times New Roman" w:cs="Times New Roman"/>
          <w:b/>
          <w:bCs/>
        </w:rPr>
        <w:t>doble materialidad</w:t>
      </w:r>
      <w:r w:rsidRPr="007C13F7">
        <w:rPr>
          <w:rFonts w:ascii="Times New Roman" w:hAnsi="Times New Roman" w:cs="Times New Roman"/>
        </w:rPr>
        <w:t>, considerando tanto los impactos que la empresa genera en la sociedad y el ambiente (fuera-dentro) como los riesgos y oportunidades que los factores externos implican para su operación (dentro-fuera). El SROI permite capturar ambos flujos de valor y traducirlos en un ratio que refleja la eficiencia y pertinencia del modelo.</w:t>
      </w:r>
    </w:p>
    <w:p w14:paraId="0AD50532" w14:textId="77777777" w:rsidR="007C13F7" w:rsidRPr="007C13F7" w:rsidRDefault="007C13F7" w:rsidP="007C13F7">
      <w:pPr>
        <w:rPr>
          <w:rFonts w:ascii="Times New Roman" w:hAnsi="Times New Roman" w:cs="Times New Roman"/>
          <w:b/>
          <w:bCs/>
        </w:rPr>
      </w:pPr>
      <w:r w:rsidRPr="007C13F7">
        <w:rPr>
          <w:rFonts w:ascii="Times New Roman" w:hAnsi="Times New Roman" w:cs="Times New Roman"/>
          <w:b/>
          <w:bCs/>
        </w:rPr>
        <w:t>5. Complementa herramientas ambientales como el Análisis de Ciclo de Vida (ACV)</w:t>
      </w:r>
    </w:p>
    <w:p w14:paraId="293501AB" w14:textId="77777777" w:rsidR="007C13F7" w:rsidRPr="007C13F7" w:rsidRDefault="007C13F7" w:rsidP="007C13F7">
      <w:pPr>
        <w:rPr>
          <w:rFonts w:ascii="Times New Roman" w:hAnsi="Times New Roman" w:cs="Times New Roman"/>
        </w:rPr>
      </w:pPr>
      <w:r w:rsidRPr="007C13F7">
        <w:rPr>
          <w:rFonts w:ascii="Times New Roman" w:hAnsi="Times New Roman" w:cs="Times New Roman"/>
        </w:rPr>
        <w:t xml:space="preserve">Mientras el ACV identifica la reducción de impactos ambientales como GEI, consumo de materiales o eficiencia hídrica, el SROI aporta una visión integral que </w:t>
      </w:r>
      <w:r w:rsidRPr="007C13F7">
        <w:rPr>
          <w:rFonts w:ascii="Times New Roman" w:hAnsi="Times New Roman" w:cs="Times New Roman"/>
          <w:b/>
          <w:bCs/>
        </w:rPr>
        <w:t>cuantifica el impacto humano de esas mejoras</w:t>
      </w:r>
      <w:r w:rsidRPr="007C13F7">
        <w:rPr>
          <w:rFonts w:ascii="Times New Roman" w:hAnsi="Times New Roman" w:cs="Times New Roman"/>
        </w:rPr>
        <w:t xml:space="preserve">. La triangulación entre ambas metodologías consolida </w:t>
      </w:r>
      <w:r w:rsidRPr="007C13F7">
        <w:rPr>
          <w:rFonts w:ascii="Times New Roman" w:hAnsi="Times New Roman" w:cs="Times New Roman"/>
        </w:rPr>
        <w:lastRenderedPageBreak/>
        <w:t>un sistema de evaluación robusto, coherente con los Objetivos de Desarrollo Sostenible (ODS).</w:t>
      </w:r>
    </w:p>
    <w:p w14:paraId="662F530F" w14:textId="0B1E0C84" w:rsidR="007C13F7" w:rsidRPr="007C13F7" w:rsidRDefault="007C13F7" w:rsidP="007C13F7">
      <w:pPr>
        <w:rPr>
          <w:rFonts w:ascii="Times New Roman" w:hAnsi="Times New Roman" w:cs="Times New Roman"/>
          <w:b/>
          <w:bCs/>
        </w:rPr>
      </w:pPr>
      <w:r w:rsidRPr="007C13F7">
        <w:rPr>
          <w:rFonts w:ascii="Times New Roman" w:hAnsi="Times New Roman" w:cs="Times New Roman"/>
          <w:b/>
          <w:bCs/>
        </w:rPr>
        <w:t>Avances detallados en las primeras fases del proceso SROI</w:t>
      </w:r>
    </w:p>
    <w:p w14:paraId="4092562B" w14:textId="26F8591E" w:rsidR="007C13F7" w:rsidRPr="007C13F7" w:rsidRDefault="007C13F7" w:rsidP="007C13F7">
      <w:pPr>
        <w:rPr>
          <w:rFonts w:ascii="Times New Roman" w:hAnsi="Times New Roman" w:cs="Times New Roman"/>
          <w:b/>
          <w:bCs/>
        </w:rPr>
      </w:pPr>
      <w:r w:rsidRPr="007C13F7">
        <w:rPr>
          <w:rFonts w:ascii="Times New Roman" w:hAnsi="Times New Roman" w:cs="Times New Roman"/>
          <w:b/>
          <w:bCs/>
        </w:rPr>
        <w:t>Fase 1: Definición del alcance y mapeo de actores clave</w:t>
      </w:r>
    </w:p>
    <w:p w14:paraId="490082CB" w14:textId="77777777" w:rsidR="007C13F7" w:rsidRPr="007C13F7" w:rsidRDefault="007C13F7" w:rsidP="007C13F7">
      <w:pPr>
        <w:rPr>
          <w:rFonts w:ascii="Times New Roman" w:hAnsi="Times New Roman" w:cs="Times New Roman"/>
        </w:rPr>
      </w:pPr>
      <w:r w:rsidRPr="007C13F7">
        <w:rPr>
          <w:rFonts w:ascii="Times New Roman" w:hAnsi="Times New Roman" w:cs="Times New Roman"/>
          <w:b/>
          <w:bCs/>
        </w:rPr>
        <w:t>Avances realizados:</w:t>
      </w:r>
    </w:p>
    <w:p w14:paraId="33A6710D" w14:textId="77777777" w:rsidR="007C13F7" w:rsidRPr="007C13F7" w:rsidRDefault="007C13F7" w:rsidP="007C13F7">
      <w:pPr>
        <w:numPr>
          <w:ilvl w:val="0"/>
          <w:numId w:val="1"/>
        </w:numPr>
        <w:rPr>
          <w:rFonts w:ascii="Times New Roman" w:hAnsi="Times New Roman" w:cs="Times New Roman"/>
        </w:rPr>
      </w:pPr>
      <w:r w:rsidRPr="007C13F7">
        <w:rPr>
          <w:rFonts w:ascii="Times New Roman" w:hAnsi="Times New Roman" w:cs="Times New Roman"/>
          <w:b/>
          <w:bCs/>
        </w:rPr>
        <w:t>Delimitación del alcance:</w:t>
      </w:r>
      <w:r w:rsidRPr="007C13F7">
        <w:rPr>
          <w:rFonts w:ascii="Times New Roman" w:hAnsi="Times New Roman" w:cs="Times New Roman"/>
        </w:rPr>
        <w:t xml:space="preserve"> El análisis se centrará en el conjunto de viviendas implementadas bajo el modelo “Casa para Mí”, particularmente en contextos de atención post-desastre, como el Edificio Fuente Azul en Valparaíso (Antioquia), que fue reconstruido tras la emergencia por ola invernal de 2011.</w:t>
      </w:r>
    </w:p>
    <w:p w14:paraId="134BC842" w14:textId="05A8AD4B" w:rsidR="007C13F7" w:rsidRPr="007C13F7" w:rsidRDefault="007C13F7" w:rsidP="007C13F7">
      <w:pPr>
        <w:numPr>
          <w:ilvl w:val="0"/>
          <w:numId w:val="1"/>
        </w:numPr>
        <w:rPr>
          <w:rFonts w:ascii="Times New Roman" w:hAnsi="Times New Roman" w:cs="Times New Roman"/>
        </w:rPr>
      </w:pPr>
      <w:r w:rsidRPr="007C13F7">
        <w:rPr>
          <w:rFonts w:ascii="Times New Roman" w:hAnsi="Times New Roman" w:cs="Times New Roman"/>
          <w:b/>
          <w:bCs/>
        </w:rPr>
        <w:t>Foco geográfico y temporal:</w:t>
      </w:r>
      <w:r w:rsidRPr="007C13F7">
        <w:rPr>
          <w:rFonts w:ascii="Times New Roman" w:hAnsi="Times New Roman" w:cs="Times New Roman"/>
        </w:rPr>
        <w:t xml:space="preserve"> Se han definido zonas rurales y periféricas urbanas como el objeto de estudio, evaluando impactos generados entre 2012 y 2024, permitiendo observar resultados de corto, </w:t>
      </w:r>
      <w:r w:rsidRPr="00664AE4">
        <w:rPr>
          <w:rFonts w:ascii="Times New Roman" w:hAnsi="Times New Roman" w:cs="Times New Roman"/>
          <w:strike/>
        </w:rPr>
        <w:t>mediano y largo plazo</w:t>
      </w:r>
      <w:r w:rsidR="00664AE4">
        <w:rPr>
          <w:rFonts w:ascii="Times New Roman" w:hAnsi="Times New Roman" w:cs="Times New Roman"/>
        </w:rPr>
        <w:t xml:space="preserve"> (definir entre el 2012 y el 2023 línea base)</w:t>
      </w:r>
      <w:r w:rsidRPr="007C13F7">
        <w:rPr>
          <w:rFonts w:ascii="Times New Roman" w:hAnsi="Times New Roman" w:cs="Times New Roman"/>
        </w:rPr>
        <w:t>.</w:t>
      </w:r>
      <w:r w:rsidR="00664AE4">
        <w:rPr>
          <w:rFonts w:ascii="Times New Roman" w:hAnsi="Times New Roman" w:cs="Times New Roman"/>
        </w:rPr>
        <w:t xml:space="preserve"> En el 2023 y 2024 se toma la información de corto plazo.</w:t>
      </w:r>
    </w:p>
    <w:p w14:paraId="5D4E38DB" w14:textId="77777777" w:rsidR="007C13F7" w:rsidRPr="007C13F7" w:rsidRDefault="007C13F7" w:rsidP="007C13F7">
      <w:pPr>
        <w:numPr>
          <w:ilvl w:val="0"/>
          <w:numId w:val="1"/>
        </w:numPr>
        <w:rPr>
          <w:rFonts w:ascii="Times New Roman" w:hAnsi="Times New Roman" w:cs="Times New Roman"/>
        </w:rPr>
      </w:pPr>
      <w:r w:rsidRPr="007C13F7">
        <w:rPr>
          <w:rFonts w:ascii="Times New Roman" w:hAnsi="Times New Roman" w:cs="Times New Roman"/>
          <w:b/>
          <w:bCs/>
        </w:rPr>
        <w:t>Identificación de actores clave:</w:t>
      </w:r>
    </w:p>
    <w:p w14:paraId="1CE82232" w14:textId="77777777" w:rsidR="007C13F7" w:rsidRPr="007C13F7" w:rsidRDefault="007C13F7" w:rsidP="007C13F7">
      <w:pPr>
        <w:numPr>
          <w:ilvl w:val="1"/>
          <w:numId w:val="6"/>
        </w:numPr>
        <w:spacing w:after="0"/>
        <w:ind w:left="1434" w:hanging="357"/>
        <w:rPr>
          <w:rFonts w:ascii="Times New Roman" w:hAnsi="Times New Roman" w:cs="Times New Roman"/>
        </w:rPr>
      </w:pPr>
      <w:r w:rsidRPr="007C13F7">
        <w:rPr>
          <w:rFonts w:ascii="Times New Roman" w:hAnsi="Times New Roman" w:cs="Times New Roman"/>
          <w:i/>
          <w:iCs/>
        </w:rPr>
        <w:t>Internos</w:t>
      </w:r>
      <w:r w:rsidRPr="007C13F7">
        <w:rPr>
          <w:rFonts w:ascii="Times New Roman" w:hAnsi="Times New Roman" w:cs="Times New Roman"/>
        </w:rPr>
        <w:t>: beneficiarios, comunidad organizada, promotores técnicos del modelo, líderes comunitarios.</w:t>
      </w:r>
    </w:p>
    <w:p w14:paraId="10749C94" w14:textId="77777777" w:rsidR="007C13F7" w:rsidRPr="007C13F7" w:rsidRDefault="007C13F7" w:rsidP="007C13F7">
      <w:pPr>
        <w:numPr>
          <w:ilvl w:val="1"/>
          <w:numId w:val="6"/>
        </w:numPr>
        <w:spacing w:after="0"/>
        <w:ind w:left="1434" w:hanging="357"/>
        <w:rPr>
          <w:rFonts w:ascii="Times New Roman" w:hAnsi="Times New Roman" w:cs="Times New Roman"/>
        </w:rPr>
      </w:pPr>
      <w:r w:rsidRPr="007C13F7">
        <w:rPr>
          <w:rFonts w:ascii="Times New Roman" w:hAnsi="Times New Roman" w:cs="Times New Roman"/>
          <w:i/>
          <w:iCs/>
        </w:rPr>
        <w:t>Privados</w:t>
      </w:r>
      <w:r w:rsidRPr="007C13F7">
        <w:rPr>
          <w:rFonts w:ascii="Times New Roman" w:hAnsi="Times New Roman" w:cs="Times New Roman"/>
        </w:rPr>
        <w:t>: Cementos Argos (como empresa ancla del modelo), proveedores, contratistas de obra.</w:t>
      </w:r>
    </w:p>
    <w:p w14:paraId="64A78705" w14:textId="77777777" w:rsidR="007C13F7" w:rsidRPr="007C13F7" w:rsidRDefault="007C13F7" w:rsidP="007C13F7">
      <w:pPr>
        <w:numPr>
          <w:ilvl w:val="1"/>
          <w:numId w:val="6"/>
        </w:numPr>
        <w:spacing w:after="0"/>
        <w:ind w:left="1434" w:hanging="357"/>
        <w:rPr>
          <w:rFonts w:ascii="Times New Roman" w:hAnsi="Times New Roman" w:cs="Times New Roman"/>
        </w:rPr>
      </w:pPr>
      <w:r w:rsidRPr="007C13F7">
        <w:rPr>
          <w:rFonts w:ascii="Times New Roman" w:hAnsi="Times New Roman" w:cs="Times New Roman"/>
          <w:i/>
          <w:iCs/>
        </w:rPr>
        <w:t>Públicos</w:t>
      </w:r>
      <w:r w:rsidRPr="007C13F7">
        <w:rPr>
          <w:rFonts w:ascii="Times New Roman" w:hAnsi="Times New Roman" w:cs="Times New Roman"/>
        </w:rPr>
        <w:t>: gobiernos locales, entidades de planeación territorial y vivienda.</w:t>
      </w:r>
    </w:p>
    <w:p w14:paraId="09F3BFEF" w14:textId="77777777" w:rsidR="007C13F7" w:rsidRPr="007C13F7" w:rsidRDefault="007C13F7" w:rsidP="007C13F7">
      <w:pPr>
        <w:numPr>
          <w:ilvl w:val="1"/>
          <w:numId w:val="6"/>
        </w:numPr>
        <w:spacing w:after="0"/>
        <w:ind w:left="1434" w:hanging="357"/>
        <w:rPr>
          <w:rFonts w:ascii="Times New Roman" w:hAnsi="Times New Roman" w:cs="Times New Roman"/>
        </w:rPr>
      </w:pPr>
      <w:r w:rsidRPr="007C13F7">
        <w:rPr>
          <w:rFonts w:ascii="Times New Roman" w:hAnsi="Times New Roman" w:cs="Times New Roman"/>
          <w:i/>
          <w:iCs/>
        </w:rPr>
        <w:t>Académicos y técnicos</w:t>
      </w:r>
      <w:r w:rsidRPr="007C13F7">
        <w:rPr>
          <w:rFonts w:ascii="Times New Roman" w:hAnsi="Times New Roman" w:cs="Times New Roman"/>
        </w:rPr>
        <w:t>: Universidad EAFIT como garante metodológico, investigadores del proyecto.</w:t>
      </w:r>
    </w:p>
    <w:p w14:paraId="6716E3A0" w14:textId="77777777" w:rsidR="007C13F7" w:rsidRPr="00230B7D" w:rsidRDefault="007C13F7" w:rsidP="007C13F7">
      <w:pPr>
        <w:numPr>
          <w:ilvl w:val="1"/>
          <w:numId w:val="6"/>
        </w:numPr>
        <w:spacing w:after="0"/>
        <w:ind w:left="1434" w:hanging="357"/>
        <w:rPr>
          <w:rFonts w:ascii="Times New Roman" w:hAnsi="Times New Roman" w:cs="Times New Roman"/>
        </w:rPr>
      </w:pPr>
      <w:r w:rsidRPr="007C13F7">
        <w:rPr>
          <w:rFonts w:ascii="Times New Roman" w:hAnsi="Times New Roman" w:cs="Times New Roman"/>
          <w:i/>
          <w:iCs/>
        </w:rPr>
        <w:t>Financieros</w:t>
      </w:r>
      <w:r w:rsidRPr="007C13F7">
        <w:rPr>
          <w:rFonts w:ascii="Times New Roman" w:hAnsi="Times New Roman" w:cs="Times New Roman"/>
        </w:rPr>
        <w:t>: entidades aliadas para microcréditos habitacionales y fondos de financiación.</w:t>
      </w:r>
    </w:p>
    <w:p w14:paraId="6EB24479" w14:textId="77777777" w:rsidR="007C13F7" w:rsidRPr="007C13F7" w:rsidRDefault="007C13F7" w:rsidP="007C13F7">
      <w:pPr>
        <w:spacing w:after="0"/>
        <w:rPr>
          <w:rFonts w:ascii="Times New Roman" w:hAnsi="Times New Roman" w:cs="Times New Roman"/>
        </w:rPr>
      </w:pPr>
    </w:p>
    <w:p w14:paraId="74276CFB" w14:textId="77777777" w:rsidR="007C13F7" w:rsidRPr="007C13F7" w:rsidRDefault="007C13F7" w:rsidP="007C13F7">
      <w:pPr>
        <w:numPr>
          <w:ilvl w:val="0"/>
          <w:numId w:val="1"/>
        </w:numPr>
        <w:rPr>
          <w:rFonts w:ascii="Times New Roman" w:hAnsi="Times New Roman" w:cs="Times New Roman"/>
        </w:rPr>
      </w:pPr>
      <w:r w:rsidRPr="007C13F7">
        <w:rPr>
          <w:rFonts w:ascii="Times New Roman" w:hAnsi="Times New Roman" w:cs="Times New Roman"/>
          <w:b/>
          <w:bCs/>
        </w:rPr>
        <w:t>Mapa de interés e influencia:</w:t>
      </w:r>
      <w:r w:rsidRPr="007C13F7">
        <w:rPr>
          <w:rFonts w:ascii="Times New Roman" w:hAnsi="Times New Roman" w:cs="Times New Roman"/>
        </w:rPr>
        <w:t xml:space="preserve"> Se realizó una clasificación inicial según poder de decisión, nivel de afectación e interés en los resultados. Esto ha facilitado diseñar estrategias diferenciadas para recolección de información y validación de resultados.</w:t>
      </w:r>
    </w:p>
    <w:p w14:paraId="278CBCB1" w14:textId="301FC83B" w:rsidR="007C13F7" w:rsidRPr="007C13F7" w:rsidRDefault="007C13F7" w:rsidP="007C13F7">
      <w:pPr>
        <w:rPr>
          <w:rFonts w:ascii="Times New Roman" w:hAnsi="Times New Roman" w:cs="Times New Roman"/>
        </w:rPr>
      </w:pPr>
    </w:p>
    <w:p w14:paraId="5D2F8E2B" w14:textId="51CE4BCA" w:rsidR="007C13F7" w:rsidRPr="007C13F7" w:rsidRDefault="007C13F7" w:rsidP="007C13F7">
      <w:pPr>
        <w:rPr>
          <w:rFonts w:ascii="Times New Roman" w:hAnsi="Times New Roman" w:cs="Times New Roman"/>
          <w:b/>
          <w:bCs/>
        </w:rPr>
      </w:pPr>
      <w:r w:rsidRPr="007C13F7">
        <w:rPr>
          <w:rFonts w:ascii="Times New Roman" w:hAnsi="Times New Roman" w:cs="Times New Roman"/>
          <w:b/>
          <w:bCs/>
        </w:rPr>
        <w:t>Fase 2: Mapeo de resultados</w:t>
      </w:r>
    </w:p>
    <w:p w14:paraId="046DE67C" w14:textId="77777777" w:rsidR="007C13F7" w:rsidRPr="007C13F7" w:rsidRDefault="007C13F7" w:rsidP="007C13F7">
      <w:pPr>
        <w:rPr>
          <w:rFonts w:ascii="Times New Roman" w:hAnsi="Times New Roman" w:cs="Times New Roman"/>
        </w:rPr>
      </w:pPr>
      <w:r w:rsidRPr="007C13F7">
        <w:rPr>
          <w:rFonts w:ascii="Times New Roman" w:hAnsi="Times New Roman" w:cs="Times New Roman"/>
          <w:b/>
          <w:bCs/>
        </w:rPr>
        <w:t>Avances realizados:</w:t>
      </w:r>
    </w:p>
    <w:p w14:paraId="072FD4E1" w14:textId="77777777" w:rsidR="007C13F7" w:rsidRPr="007C13F7" w:rsidRDefault="007C13F7" w:rsidP="007C13F7">
      <w:pPr>
        <w:numPr>
          <w:ilvl w:val="0"/>
          <w:numId w:val="2"/>
        </w:numPr>
        <w:rPr>
          <w:rFonts w:ascii="Times New Roman" w:hAnsi="Times New Roman" w:cs="Times New Roman"/>
        </w:rPr>
      </w:pPr>
      <w:r w:rsidRPr="007C13F7">
        <w:rPr>
          <w:rFonts w:ascii="Times New Roman" w:hAnsi="Times New Roman" w:cs="Times New Roman"/>
          <w:b/>
          <w:bCs/>
        </w:rPr>
        <w:t>Diseño de la Teoría de Cambio participativa</w:t>
      </w:r>
      <w:r w:rsidRPr="007C13F7">
        <w:rPr>
          <w:rFonts w:ascii="Times New Roman" w:hAnsi="Times New Roman" w:cs="Times New Roman"/>
        </w:rPr>
        <w:t xml:space="preserve">: A partir de talleres de co-creación con el equipo de </w:t>
      </w:r>
      <w:r w:rsidRPr="007C13F7">
        <w:rPr>
          <w:rFonts w:ascii="Times New Roman" w:hAnsi="Times New Roman" w:cs="Times New Roman"/>
          <w:i/>
          <w:iCs/>
        </w:rPr>
        <w:t>Casa para Mí</w:t>
      </w:r>
      <w:r w:rsidRPr="007C13F7">
        <w:rPr>
          <w:rFonts w:ascii="Times New Roman" w:hAnsi="Times New Roman" w:cs="Times New Roman"/>
        </w:rPr>
        <w:t xml:space="preserve"> y un taller comunitario con 8 de las 10 familias beneficiarias, se construyó una teoría de cambio con cinco niveles:</w:t>
      </w:r>
    </w:p>
    <w:p w14:paraId="51066732" w14:textId="77777777" w:rsidR="007C13F7" w:rsidRPr="007C13F7" w:rsidRDefault="007C13F7" w:rsidP="00E81B0B">
      <w:pPr>
        <w:numPr>
          <w:ilvl w:val="1"/>
          <w:numId w:val="2"/>
        </w:numPr>
        <w:spacing w:after="0"/>
        <w:ind w:left="1434" w:hanging="357"/>
        <w:rPr>
          <w:rFonts w:ascii="Times New Roman" w:hAnsi="Times New Roman" w:cs="Times New Roman"/>
        </w:rPr>
      </w:pPr>
      <w:r w:rsidRPr="007C13F7">
        <w:rPr>
          <w:rFonts w:ascii="Times New Roman" w:hAnsi="Times New Roman" w:cs="Times New Roman"/>
        </w:rPr>
        <w:lastRenderedPageBreak/>
        <w:t>Entradas (problemas identificados: pobreza, hacinamiento, salud precaria, estrés postraumático, informalidad).</w:t>
      </w:r>
    </w:p>
    <w:p w14:paraId="7DB1D07D" w14:textId="77777777" w:rsidR="007C13F7" w:rsidRPr="007C13F7" w:rsidRDefault="007C13F7" w:rsidP="00E81B0B">
      <w:pPr>
        <w:numPr>
          <w:ilvl w:val="1"/>
          <w:numId w:val="2"/>
        </w:numPr>
        <w:spacing w:after="0"/>
        <w:ind w:left="1434" w:hanging="357"/>
        <w:rPr>
          <w:rFonts w:ascii="Times New Roman" w:hAnsi="Times New Roman" w:cs="Times New Roman"/>
        </w:rPr>
      </w:pPr>
      <w:r w:rsidRPr="007C13F7">
        <w:rPr>
          <w:rFonts w:ascii="Times New Roman" w:hAnsi="Times New Roman" w:cs="Times New Roman"/>
        </w:rPr>
        <w:t>Intervención (el kit de vivienda con estructuración completa del proyecto).</w:t>
      </w:r>
    </w:p>
    <w:p w14:paraId="299837C2" w14:textId="77777777" w:rsidR="007C13F7" w:rsidRPr="007C13F7" w:rsidRDefault="007C13F7" w:rsidP="00E81B0B">
      <w:pPr>
        <w:numPr>
          <w:ilvl w:val="1"/>
          <w:numId w:val="2"/>
        </w:numPr>
        <w:spacing w:after="0"/>
        <w:ind w:left="1434" w:hanging="357"/>
        <w:rPr>
          <w:rFonts w:ascii="Times New Roman" w:hAnsi="Times New Roman" w:cs="Times New Roman"/>
        </w:rPr>
      </w:pPr>
      <w:r w:rsidRPr="007C13F7">
        <w:rPr>
          <w:rFonts w:ascii="Times New Roman" w:hAnsi="Times New Roman" w:cs="Times New Roman"/>
        </w:rPr>
        <w:t>Resultados intermedios 1 (producto de la empresa).</w:t>
      </w:r>
    </w:p>
    <w:p w14:paraId="4F9FDA21" w14:textId="77777777" w:rsidR="007C13F7" w:rsidRPr="007C13F7" w:rsidRDefault="007C13F7" w:rsidP="00E81B0B">
      <w:pPr>
        <w:numPr>
          <w:ilvl w:val="1"/>
          <w:numId w:val="2"/>
        </w:numPr>
        <w:spacing w:after="0"/>
        <w:ind w:left="1434" w:hanging="357"/>
        <w:rPr>
          <w:rFonts w:ascii="Times New Roman" w:hAnsi="Times New Roman" w:cs="Times New Roman"/>
        </w:rPr>
      </w:pPr>
      <w:r w:rsidRPr="007C13F7">
        <w:rPr>
          <w:rFonts w:ascii="Times New Roman" w:hAnsi="Times New Roman" w:cs="Times New Roman"/>
        </w:rPr>
        <w:t>Resultados intermedios 2 (percepción de los beneficiarios).</w:t>
      </w:r>
    </w:p>
    <w:p w14:paraId="427FF6DC" w14:textId="77777777" w:rsidR="007C13F7" w:rsidRPr="00230B7D" w:rsidRDefault="007C13F7" w:rsidP="00E81B0B">
      <w:pPr>
        <w:numPr>
          <w:ilvl w:val="1"/>
          <w:numId w:val="2"/>
        </w:numPr>
        <w:spacing w:after="0"/>
        <w:ind w:left="1434" w:hanging="357"/>
        <w:rPr>
          <w:rFonts w:ascii="Times New Roman" w:hAnsi="Times New Roman" w:cs="Times New Roman"/>
        </w:rPr>
      </w:pPr>
      <w:r w:rsidRPr="007C13F7">
        <w:rPr>
          <w:rFonts w:ascii="Times New Roman" w:hAnsi="Times New Roman" w:cs="Times New Roman"/>
        </w:rPr>
        <w:t>Resultados finales (impactos sociales y ambientales observables).</w:t>
      </w:r>
    </w:p>
    <w:p w14:paraId="4CFB584F" w14:textId="77777777" w:rsidR="00E81B0B" w:rsidRPr="007C13F7" w:rsidRDefault="00E81B0B" w:rsidP="00E81B0B">
      <w:pPr>
        <w:spacing w:after="0"/>
        <w:rPr>
          <w:rFonts w:ascii="Times New Roman" w:hAnsi="Times New Roman" w:cs="Times New Roman"/>
        </w:rPr>
      </w:pPr>
    </w:p>
    <w:p w14:paraId="422E2BB7" w14:textId="77777777" w:rsidR="007C13F7" w:rsidRPr="007C13F7" w:rsidRDefault="007C13F7" w:rsidP="007C13F7">
      <w:pPr>
        <w:numPr>
          <w:ilvl w:val="0"/>
          <w:numId w:val="2"/>
        </w:numPr>
        <w:rPr>
          <w:rFonts w:ascii="Times New Roman" w:hAnsi="Times New Roman" w:cs="Times New Roman"/>
        </w:rPr>
      </w:pPr>
      <w:r w:rsidRPr="007C13F7">
        <w:rPr>
          <w:rFonts w:ascii="Times New Roman" w:hAnsi="Times New Roman" w:cs="Times New Roman"/>
          <w:b/>
          <w:bCs/>
        </w:rPr>
        <w:t>Categorías clave de resultados mapeados:</w:t>
      </w:r>
    </w:p>
    <w:p w14:paraId="004FE480" w14:textId="77777777" w:rsidR="007C13F7" w:rsidRPr="007C13F7" w:rsidRDefault="007C13F7" w:rsidP="00E81B0B">
      <w:pPr>
        <w:numPr>
          <w:ilvl w:val="1"/>
          <w:numId w:val="9"/>
        </w:numPr>
        <w:spacing w:after="0"/>
        <w:ind w:left="1434" w:hanging="357"/>
        <w:rPr>
          <w:rFonts w:ascii="Times New Roman" w:hAnsi="Times New Roman" w:cs="Times New Roman"/>
        </w:rPr>
      </w:pPr>
      <w:r w:rsidRPr="007C13F7">
        <w:rPr>
          <w:rFonts w:ascii="Times New Roman" w:hAnsi="Times New Roman" w:cs="Times New Roman"/>
          <w:b/>
          <w:bCs/>
        </w:rPr>
        <w:t>Económicos</w:t>
      </w:r>
      <w:r w:rsidRPr="007C13F7">
        <w:rPr>
          <w:rFonts w:ascii="Times New Roman" w:hAnsi="Times New Roman" w:cs="Times New Roman"/>
        </w:rPr>
        <w:t>: ahorro por dejar de pagar arriendo, disminución de costos energéticos, aumento de ingresos y empleabilidad.</w:t>
      </w:r>
    </w:p>
    <w:p w14:paraId="13FDADE3" w14:textId="77777777" w:rsidR="007C13F7" w:rsidRPr="007C13F7" w:rsidRDefault="007C13F7" w:rsidP="00E81B0B">
      <w:pPr>
        <w:numPr>
          <w:ilvl w:val="1"/>
          <w:numId w:val="9"/>
        </w:numPr>
        <w:spacing w:after="0"/>
        <w:ind w:left="1434" w:hanging="357"/>
        <w:rPr>
          <w:rFonts w:ascii="Times New Roman" w:hAnsi="Times New Roman" w:cs="Times New Roman"/>
        </w:rPr>
      </w:pPr>
      <w:r w:rsidRPr="007C13F7">
        <w:rPr>
          <w:rFonts w:ascii="Times New Roman" w:hAnsi="Times New Roman" w:cs="Times New Roman"/>
          <w:b/>
          <w:bCs/>
        </w:rPr>
        <w:t>Salud física y emocional</w:t>
      </w:r>
      <w:r w:rsidRPr="007C13F7">
        <w:rPr>
          <w:rFonts w:ascii="Times New Roman" w:hAnsi="Times New Roman" w:cs="Times New Roman"/>
        </w:rPr>
        <w:t>: mejoras en salud respiratoria, nutrición, disminución de estrés y ansiedad.</w:t>
      </w:r>
    </w:p>
    <w:p w14:paraId="06049777" w14:textId="77777777" w:rsidR="007C13F7" w:rsidRPr="007C13F7" w:rsidRDefault="007C13F7" w:rsidP="00E81B0B">
      <w:pPr>
        <w:numPr>
          <w:ilvl w:val="1"/>
          <w:numId w:val="9"/>
        </w:numPr>
        <w:spacing w:after="0"/>
        <w:ind w:left="1434" w:hanging="357"/>
        <w:rPr>
          <w:rFonts w:ascii="Times New Roman" w:hAnsi="Times New Roman" w:cs="Times New Roman"/>
        </w:rPr>
      </w:pPr>
      <w:r w:rsidRPr="007C13F7">
        <w:rPr>
          <w:rFonts w:ascii="Times New Roman" w:hAnsi="Times New Roman" w:cs="Times New Roman"/>
          <w:b/>
          <w:bCs/>
        </w:rPr>
        <w:t>Equidad y cohesión social</w:t>
      </w:r>
      <w:r w:rsidRPr="007C13F7">
        <w:rPr>
          <w:rFonts w:ascii="Times New Roman" w:hAnsi="Times New Roman" w:cs="Times New Roman"/>
        </w:rPr>
        <w:t>: reducción de la inequidad territorial, acceso a servicios básicos, fortalecimiento de redes de apoyo.</w:t>
      </w:r>
    </w:p>
    <w:p w14:paraId="79336256" w14:textId="77777777" w:rsidR="007C13F7" w:rsidRPr="007C13F7" w:rsidRDefault="007C13F7" w:rsidP="00E81B0B">
      <w:pPr>
        <w:numPr>
          <w:ilvl w:val="1"/>
          <w:numId w:val="9"/>
        </w:numPr>
        <w:spacing w:after="0"/>
        <w:ind w:left="1434" w:hanging="357"/>
        <w:rPr>
          <w:rFonts w:ascii="Times New Roman" w:hAnsi="Times New Roman" w:cs="Times New Roman"/>
        </w:rPr>
      </w:pPr>
      <w:r w:rsidRPr="007C13F7">
        <w:rPr>
          <w:rFonts w:ascii="Times New Roman" w:hAnsi="Times New Roman" w:cs="Times New Roman"/>
          <w:b/>
          <w:bCs/>
        </w:rPr>
        <w:t>Calidad de la vivienda</w:t>
      </w:r>
      <w:r w:rsidRPr="007C13F7">
        <w:rPr>
          <w:rFonts w:ascii="Times New Roman" w:hAnsi="Times New Roman" w:cs="Times New Roman"/>
        </w:rPr>
        <w:t>: seguridad estructural, reducción de humedades y hacinamiento, confort térmico.</w:t>
      </w:r>
    </w:p>
    <w:p w14:paraId="435072C9" w14:textId="77777777" w:rsidR="007C13F7" w:rsidRPr="00230B7D" w:rsidRDefault="007C13F7" w:rsidP="00E81B0B">
      <w:pPr>
        <w:numPr>
          <w:ilvl w:val="1"/>
          <w:numId w:val="9"/>
        </w:numPr>
        <w:spacing w:after="0"/>
        <w:ind w:left="1434" w:hanging="357"/>
        <w:rPr>
          <w:rFonts w:ascii="Times New Roman" w:hAnsi="Times New Roman" w:cs="Times New Roman"/>
        </w:rPr>
      </w:pPr>
      <w:r w:rsidRPr="007C13F7">
        <w:rPr>
          <w:rFonts w:ascii="Times New Roman" w:hAnsi="Times New Roman" w:cs="Times New Roman"/>
          <w:b/>
          <w:bCs/>
        </w:rPr>
        <w:t>Sostenibilidad ambiental</w:t>
      </w:r>
      <w:r w:rsidRPr="007C13F7">
        <w:rPr>
          <w:rFonts w:ascii="Times New Roman" w:hAnsi="Times New Roman" w:cs="Times New Roman"/>
        </w:rPr>
        <w:t>: uso de materiales renovables, disminución de residuos, ahorro de agua y energía.</w:t>
      </w:r>
    </w:p>
    <w:p w14:paraId="5BFDCA5F" w14:textId="77777777" w:rsidR="00E81B0B" w:rsidRPr="007C13F7" w:rsidRDefault="00E81B0B" w:rsidP="00E81B0B">
      <w:pPr>
        <w:spacing w:after="0"/>
        <w:rPr>
          <w:rFonts w:ascii="Times New Roman" w:hAnsi="Times New Roman" w:cs="Times New Roman"/>
        </w:rPr>
      </w:pPr>
    </w:p>
    <w:p w14:paraId="00506A81" w14:textId="6508C355" w:rsidR="007C13F7" w:rsidRPr="007C13F7" w:rsidRDefault="007C13F7" w:rsidP="007C13F7">
      <w:pPr>
        <w:numPr>
          <w:ilvl w:val="0"/>
          <w:numId w:val="2"/>
        </w:numPr>
        <w:rPr>
          <w:rFonts w:ascii="Times New Roman" w:hAnsi="Times New Roman" w:cs="Times New Roman"/>
        </w:rPr>
      </w:pPr>
      <w:r w:rsidRPr="007C13F7">
        <w:rPr>
          <w:rFonts w:ascii="Times New Roman" w:hAnsi="Times New Roman" w:cs="Times New Roman"/>
          <w:b/>
          <w:bCs/>
        </w:rPr>
        <w:t>Validación de resultados</w:t>
      </w:r>
      <w:r w:rsidRPr="007C13F7">
        <w:rPr>
          <w:rFonts w:ascii="Times New Roman" w:hAnsi="Times New Roman" w:cs="Times New Roman"/>
        </w:rPr>
        <w:t xml:space="preserve">: La mayoría de </w:t>
      </w:r>
      <w:r w:rsidR="00EE6329" w:rsidRPr="007C13F7">
        <w:rPr>
          <w:rFonts w:ascii="Times New Roman" w:hAnsi="Times New Roman" w:cs="Times New Roman"/>
        </w:rPr>
        <w:t>los resultados</w:t>
      </w:r>
      <w:r w:rsidRPr="007C13F7">
        <w:rPr>
          <w:rFonts w:ascii="Times New Roman" w:hAnsi="Times New Roman" w:cs="Times New Roman"/>
        </w:rPr>
        <w:t xml:space="preserve"> identificados en la teoría del cambio inicial fueron confirmados por los testimonios comunitarios, lo que fortalece la legitimidad del mapeo.</w:t>
      </w:r>
    </w:p>
    <w:p w14:paraId="6C20C874" w14:textId="5CDFABD1" w:rsidR="007C13F7" w:rsidRPr="007C13F7" w:rsidRDefault="007C13F7" w:rsidP="007C13F7">
      <w:pPr>
        <w:rPr>
          <w:rFonts w:ascii="Times New Roman" w:hAnsi="Times New Roman" w:cs="Times New Roman"/>
          <w:b/>
          <w:bCs/>
        </w:rPr>
      </w:pPr>
      <w:r w:rsidRPr="007C13F7">
        <w:rPr>
          <w:rFonts w:ascii="Times New Roman" w:hAnsi="Times New Roman" w:cs="Times New Roman"/>
          <w:b/>
          <w:bCs/>
        </w:rPr>
        <w:t>Fase 3: Valoración y asignación de valor a los resultados esperados</w:t>
      </w:r>
    </w:p>
    <w:p w14:paraId="40B70CF7" w14:textId="77777777" w:rsidR="007C13F7" w:rsidRPr="007C13F7" w:rsidRDefault="007C13F7" w:rsidP="007C13F7">
      <w:pPr>
        <w:rPr>
          <w:rFonts w:ascii="Times New Roman" w:hAnsi="Times New Roman" w:cs="Times New Roman"/>
        </w:rPr>
      </w:pPr>
      <w:r w:rsidRPr="007C13F7">
        <w:rPr>
          <w:rFonts w:ascii="Times New Roman" w:hAnsi="Times New Roman" w:cs="Times New Roman"/>
          <w:b/>
          <w:bCs/>
        </w:rPr>
        <w:t>Avances realizados:</w:t>
      </w:r>
    </w:p>
    <w:p w14:paraId="49793F44" w14:textId="4DB3B0AB" w:rsidR="007C13F7" w:rsidRPr="00230B7D" w:rsidRDefault="007C13F7" w:rsidP="007C13F7">
      <w:pPr>
        <w:numPr>
          <w:ilvl w:val="0"/>
          <w:numId w:val="4"/>
        </w:numPr>
        <w:rPr>
          <w:rFonts w:ascii="Times New Roman" w:hAnsi="Times New Roman" w:cs="Times New Roman"/>
        </w:rPr>
      </w:pPr>
      <w:r w:rsidRPr="007C13F7">
        <w:rPr>
          <w:rFonts w:ascii="Times New Roman" w:hAnsi="Times New Roman" w:cs="Times New Roman"/>
        </w:rPr>
        <w:t xml:space="preserve">Se ha iniciado la </w:t>
      </w:r>
      <w:r w:rsidRPr="007C13F7">
        <w:rPr>
          <w:rFonts w:ascii="Times New Roman" w:hAnsi="Times New Roman" w:cs="Times New Roman"/>
          <w:b/>
          <w:bCs/>
        </w:rPr>
        <w:t xml:space="preserve">identificación de </w:t>
      </w:r>
      <w:r w:rsidR="00E81B0B" w:rsidRPr="00230B7D">
        <w:rPr>
          <w:rFonts w:ascii="Times New Roman" w:hAnsi="Times New Roman" w:cs="Times New Roman"/>
          <w:b/>
          <w:bCs/>
        </w:rPr>
        <w:t xml:space="preserve">indicadores y </w:t>
      </w:r>
      <w:r w:rsidRPr="007C13F7">
        <w:rPr>
          <w:rFonts w:ascii="Times New Roman" w:hAnsi="Times New Roman" w:cs="Times New Roman"/>
          <w:b/>
          <w:bCs/>
        </w:rPr>
        <w:t>proxies monetarios</w:t>
      </w:r>
      <w:r w:rsidRPr="007C13F7">
        <w:rPr>
          <w:rFonts w:ascii="Times New Roman" w:hAnsi="Times New Roman" w:cs="Times New Roman"/>
        </w:rPr>
        <w:t xml:space="preserve"> para cada uno de los resultados:</w:t>
      </w:r>
    </w:p>
    <w:p w14:paraId="536923FB" w14:textId="77777777" w:rsidR="00E81B0B" w:rsidRPr="007C13F7" w:rsidRDefault="00E81B0B" w:rsidP="00E81B0B">
      <w:pPr>
        <w:rPr>
          <w:rFonts w:ascii="Times New Roman" w:hAnsi="Times New Roman" w:cs="Times New Roman"/>
        </w:rPr>
      </w:pPr>
    </w:p>
    <w:tbl>
      <w:tblPr>
        <w:tblW w:w="8465" w:type="dxa"/>
        <w:tblCellMar>
          <w:left w:w="70" w:type="dxa"/>
          <w:right w:w="70" w:type="dxa"/>
        </w:tblCellMar>
        <w:tblLook w:val="04A0" w:firstRow="1" w:lastRow="0" w:firstColumn="1" w:lastColumn="0" w:noHBand="0" w:noVBand="1"/>
      </w:tblPr>
      <w:tblGrid>
        <w:gridCol w:w="2263"/>
        <w:gridCol w:w="2835"/>
        <w:gridCol w:w="3367"/>
      </w:tblGrid>
      <w:tr w:rsidR="00ED5BA1" w:rsidRPr="00ED5BA1" w14:paraId="5D172226" w14:textId="77777777" w:rsidTr="00ED5BA1">
        <w:trPr>
          <w:trHeight w:val="278"/>
        </w:trPr>
        <w:tc>
          <w:tcPr>
            <w:tcW w:w="2263" w:type="dxa"/>
            <w:tcBorders>
              <w:top w:val="single" w:sz="4" w:space="0" w:color="auto"/>
              <w:left w:val="single" w:sz="4" w:space="0" w:color="auto"/>
              <w:bottom w:val="single" w:sz="4" w:space="0" w:color="auto"/>
              <w:right w:val="single" w:sz="4" w:space="0" w:color="auto"/>
            </w:tcBorders>
            <w:shd w:val="clear" w:color="000000" w:fill="0E2841"/>
            <w:vAlign w:val="center"/>
            <w:hideMark/>
          </w:tcPr>
          <w:p w14:paraId="0EFCC6EE" w14:textId="77777777" w:rsidR="00ED5BA1" w:rsidRPr="00ED5BA1" w:rsidRDefault="00ED5BA1" w:rsidP="00ED5BA1">
            <w:pPr>
              <w:spacing w:after="0" w:line="240" w:lineRule="auto"/>
              <w:jc w:val="center"/>
              <w:rPr>
                <w:rFonts w:ascii="Times New Roman" w:eastAsia="Times New Roman" w:hAnsi="Times New Roman" w:cs="Times New Roman"/>
                <w:b/>
                <w:bCs/>
                <w:color w:val="FFFFFF"/>
                <w:kern w:val="0"/>
                <w:lang w:eastAsia="es-CO"/>
                <w14:ligatures w14:val="none"/>
              </w:rPr>
            </w:pPr>
            <w:r w:rsidRPr="00ED5BA1">
              <w:rPr>
                <w:rFonts w:ascii="Times New Roman" w:eastAsia="Times New Roman" w:hAnsi="Times New Roman" w:cs="Times New Roman"/>
                <w:b/>
                <w:bCs/>
                <w:color w:val="FFFFFF"/>
                <w:kern w:val="0"/>
                <w:lang w:eastAsia="es-CO"/>
                <w14:ligatures w14:val="none"/>
              </w:rPr>
              <w:t>RESULTADO</w:t>
            </w:r>
          </w:p>
        </w:tc>
        <w:tc>
          <w:tcPr>
            <w:tcW w:w="2835" w:type="dxa"/>
            <w:tcBorders>
              <w:top w:val="single" w:sz="4" w:space="0" w:color="auto"/>
              <w:left w:val="nil"/>
              <w:bottom w:val="single" w:sz="4" w:space="0" w:color="auto"/>
              <w:right w:val="single" w:sz="4" w:space="0" w:color="auto"/>
            </w:tcBorders>
            <w:shd w:val="clear" w:color="000000" w:fill="0E2841"/>
            <w:vAlign w:val="center"/>
            <w:hideMark/>
          </w:tcPr>
          <w:p w14:paraId="12684532" w14:textId="77777777" w:rsidR="00ED5BA1" w:rsidRPr="00ED5BA1" w:rsidRDefault="00ED5BA1" w:rsidP="00ED5BA1">
            <w:pPr>
              <w:spacing w:after="0" w:line="240" w:lineRule="auto"/>
              <w:jc w:val="center"/>
              <w:rPr>
                <w:rFonts w:ascii="Times New Roman" w:eastAsia="Times New Roman" w:hAnsi="Times New Roman" w:cs="Times New Roman"/>
                <w:b/>
                <w:bCs/>
                <w:color w:val="FFFFFF"/>
                <w:kern w:val="0"/>
                <w:lang w:eastAsia="es-CO"/>
                <w14:ligatures w14:val="none"/>
              </w:rPr>
            </w:pPr>
            <w:r w:rsidRPr="00ED5BA1">
              <w:rPr>
                <w:rFonts w:ascii="Times New Roman" w:eastAsia="Times New Roman" w:hAnsi="Times New Roman" w:cs="Times New Roman"/>
                <w:b/>
                <w:bCs/>
                <w:color w:val="FFFFFF"/>
                <w:kern w:val="0"/>
                <w:lang w:eastAsia="es-CO"/>
                <w14:ligatures w14:val="none"/>
              </w:rPr>
              <w:t>INDICADOR</w:t>
            </w:r>
          </w:p>
        </w:tc>
        <w:tc>
          <w:tcPr>
            <w:tcW w:w="3367" w:type="dxa"/>
            <w:tcBorders>
              <w:top w:val="single" w:sz="4" w:space="0" w:color="auto"/>
              <w:left w:val="nil"/>
              <w:bottom w:val="single" w:sz="4" w:space="0" w:color="auto"/>
              <w:right w:val="single" w:sz="4" w:space="0" w:color="auto"/>
            </w:tcBorders>
            <w:shd w:val="clear" w:color="000000" w:fill="0E2841"/>
            <w:vAlign w:val="center"/>
            <w:hideMark/>
          </w:tcPr>
          <w:p w14:paraId="45335380" w14:textId="77777777" w:rsidR="00ED5BA1" w:rsidRPr="00ED5BA1" w:rsidRDefault="00ED5BA1" w:rsidP="00ED5BA1">
            <w:pPr>
              <w:spacing w:after="0" w:line="240" w:lineRule="auto"/>
              <w:jc w:val="center"/>
              <w:rPr>
                <w:rFonts w:ascii="Times New Roman" w:eastAsia="Times New Roman" w:hAnsi="Times New Roman" w:cs="Times New Roman"/>
                <w:b/>
                <w:bCs/>
                <w:color w:val="FFFFFF"/>
                <w:kern w:val="0"/>
                <w:lang w:eastAsia="es-CO"/>
                <w14:ligatures w14:val="none"/>
              </w:rPr>
            </w:pPr>
            <w:r w:rsidRPr="00ED5BA1">
              <w:rPr>
                <w:rFonts w:ascii="Times New Roman" w:eastAsia="Times New Roman" w:hAnsi="Times New Roman" w:cs="Times New Roman"/>
                <w:b/>
                <w:bCs/>
                <w:color w:val="FFFFFF"/>
                <w:kern w:val="0"/>
                <w:lang w:eastAsia="es-CO"/>
                <w14:ligatures w14:val="none"/>
              </w:rPr>
              <w:t>PROXY</w:t>
            </w:r>
          </w:p>
        </w:tc>
      </w:tr>
      <w:tr w:rsidR="00ED5BA1" w:rsidRPr="00ED5BA1" w14:paraId="2419E4C9" w14:textId="77777777" w:rsidTr="00ED5BA1">
        <w:trPr>
          <w:trHeight w:val="1947"/>
        </w:trPr>
        <w:tc>
          <w:tcPr>
            <w:tcW w:w="2263" w:type="dxa"/>
            <w:tcBorders>
              <w:top w:val="nil"/>
              <w:left w:val="single" w:sz="4" w:space="0" w:color="auto"/>
              <w:bottom w:val="single" w:sz="4" w:space="0" w:color="auto"/>
              <w:right w:val="single" w:sz="4" w:space="0" w:color="auto"/>
            </w:tcBorders>
            <w:shd w:val="clear" w:color="auto" w:fill="auto"/>
            <w:hideMark/>
          </w:tcPr>
          <w:p w14:paraId="5B86050A" w14:textId="77777777"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Aumento de ingresos (63% entre $201K y $500K)</w:t>
            </w:r>
          </w:p>
        </w:tc>
        <w:tc>
          <w:tcPr>
            <w:tcW w:w="2835" w:type="dxa"/>
            <w:tcBorders>
              <w:top w:val="nil"/>
              <w:left w:val="nil"/>
              <w:bottom w:val="single" w:sz="4" w:space="0" w:color="auto"/>
              <w:right w:val="single" w:sz="4" w:space="0" w:color="auto"/>
            </w:tcBorders>
            <w:shd w:val="clear" w:color="auto" w:fill="auto"/>
            <w:hideMark/>
          </w:tcPr>
          <w:p w14:paraId="3F7C266D" w14:textId="27656A29"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 de hogares que reportan mejora en su capacidad de ahorro mensual</w:t>
            </w:r>
          </w:p>
        </w:tc>
        <w:tc>
          <w:tcPr>
            <w:tcW w:w="3367" w:type="dxa"/>
            <w:tcBorders>
              <w:top w:val="nil"/>
              <w:left w:val="nil"/>
              <w:bottom w:val="single" w:sz="4" w:space="0" w:color="auto"/>
              <w:right w:val="single" w:sz="4" w:space="0" w:color="auto"/>
            </w:tcBorders>
            <w:shd w:val="clear" w:color="auto" w:fill="auto"/>
            <w:hideMark/>
          </w:tcPr>
          <w:p w14:paraId="18DAFC9D" w14:textId="00B1AA3C"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Ahorro acumulado mensual por reducción de gastos (arriendo, transporte, energía): $250.000 x 12 = $3.000.000/año</w:t>
            </w:r>
          </w:p>
        </w:tc>
      </w:tr>
      <w:tr w:rsidR="00ED5BA1" w:rsidRPr="00ED5BA1" w14:paraId="47F1F5B9" w14:textId="77777777" w:rsidTr="00EC3F89">
        <w:trPr>
          <w:trHeight w:val="1266"/>
        </w:trPr>
        <w:tc>
          <w:tcPr>
            <w:tcW w:w="2263" w:type="dxa"/>
            <w:tcBorders>
              <w:top w:val="nil"/>
              <w:left w:val="single" w:sz="4" w:space="0" w:color="auto"/>
              <w:bottom w:val="single" w:sz="4" w:space="0" w:color="auto"/>
              <w:right w:val="single" w:sz="4" w:space="0" w:color="auto"/>
            </w:tcBorders>
            <w:shd w:val="clear" w:color="auto" w:fill="auto"/>
            <w:hideMark/>
          </w:tcPr>
          <w:p w14:paraId="106AAD04" w14:textId="77777777"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lastRenderedPageBreak/>
              <w:t>Nuevas oportunidades de empleo (38%)</w:t>
            </w:r>
          </w:p>
        </w:tc>
        <w:tc>
          <w:tcPr>
            <w:tcW w:w="2835" w:type="dxa"/>
            <w:tcBorders>
              <w:top w:val="nil"/>
              <w:left w:val="nil"/>
              <w:bottom w:val="single" w:sz="4" w:space="0" w:color="auto"/>
              <w:right w:val="single" w:sz="4" w:space="0" w:color="auto"/>
            </w:tcBorders>
            <w:shd w:val="clear" w:color="auto" w:fill="auto"/>
            <w:hideMark/>
          </w:tcPr>
          <w:p w14:paraId="677C3C8E" w14:textId="0D897AFA"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 de personas que accedieron a un nuevo empleo gracias a su vivienda o entorno</w:t>
            </w:r>
          </w:p>
        </w:tc>
        <w:tc>
          <w:tcPr>
            <w:tcW w:w="3367" w:type="dxa"/>
            <w:tcBorders>
              <w:top w:val="nil"/>
              <w:left w:val="nil"/>
              <w:bottom w:val="single" w:sz="4" w:space="0" w:color="auto"/>
              <w:right w:val="single" w:sz="4" w:space="0" w:color="auto"/>
            </w:tcBorders>
            <w:shd w:val="clear" w:color="auto" w:fill="auto"/>
            <w:hideMark/>
          </w:tcPr>
          <w:p w14:paraId="242C0614" w14:textId="67F13EA6"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Valor estimado de ingreso por empleo formal (p.ej., salario mínimo mensual $1.300.000 × 12 = $15.600.000/año)</w:t>
            </w:r>
          </w:p>
        </w:tc>
      </w:tr>
      <w:tr w:rsidR="00ED5BA1" w:rsidRPr="00ED5BA1" w14:paraId="34E4CB23" w14:textId="77777777" w:rsidTr="00EC3F89">
        <w:trPr>
          <w:trHeight w:val="1704"/>
        </w:trPr>
        <w:tc>
          <w:tcPr>
            <w:tcW w:w="2263" w:type="dxa"/>
            <w:tcBorders>
              <w:top w:val="nil"/>
              <w:left w:val="single" w:sz="4" w:space="0" w:color="auto"/>
              <w:bottom w:val="single" w:sz="4" w:space="0" w:color="auto"/>
              <w:right w:val="single" w:sz="4" w:space="0" w:color="auto"/>
            </w:tcBorders>
            <w:shd w:val="clear" w:color="auto" w:fill="auto"/>
            <w:hideMark/>
          </w:tcPr>
          <w:p w14:paraId="286C867C" w14:textId="77777777"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Acceso a formación técnica (25%)</w:t>
            </w:r>
          </w:p>
        </w:tc>
        <w:tc>
          <w:tcPr>
            <w:tcW w:w="2835" w:type="dxa"/>
            <w:tcBorders>
              <w:top w:val="nil"/>
              <w:left w:val="nil"/>
              <w:bottom w:val="single" w:sz="4" w:space="0" w:color="auto"/>
              <w:right w:val="single" w:sz="4" w:space="0" w:color="auto"/>
            </w:tcBorders>
            <w:shd w:val="clear" w:color="auto" w:fill="auto"/>
            <w:hideMark/>
          </w:tcPr>
          <w:p w14:paraId="66701970" w14:textId="24E2A952"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 de beneficiarios que mejoraron su nivel educativo/formativo</w:t>
            </w:r>
          </w:p>
        </w:tc>
        <w:tc>
          <w:tcPr>
            <w:tcW w:w="3367" w:type="dxa"/>
            <w:tcBorders>
              <w:top w:val="nil"/>
              <w:left w:val="nil"/>
              <w:bottom w:val="single" w:sz="4" w:space="0" w:color="auto"/>
              <w:right w:val="single" w:sz="4" w:space="0" w:color="auto"/>
            </w:tcBorders>
            <w:shd w:val="clear" w:color="auto" w:fill="auto"/>
            <w:hideMark/>
          </w:tcPr>
          <w:p w14:paraId="758CC815" w14:textId="192C2F25"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Valor agregado de cualificación técnica sobre ingreso futuro (20% adicional sobre salario base = $2.400.000 adicionales/año sobre ingreso promedio de $1 millón/mes)</w:t>
            </w:r>
          </w:p>
        </w:tc>
      </w:tr>
      <w:tr w:rsidR="00ED5BA1" w:rsidRPr="00ED5BA1" w14:paraId="0FBF1384" w14:textId="77777777" w:rsidTr="00EC3F89">
        <w:trPr>
          <w:trHeight w:val="1121"/>
        </w:trPr>
        <w:tc>
          <w:tcPr>
            <w:tcW w:w="2263" w:type="dxa"/>
            <w:tcBorders>
              <w:top w:val="nil"/>
              <w:left w:val="single" w:sz="4" w:space="0" w:color="auto"/>
              <w:bottom w:val="single" w:sz="4" w:space="0" w:color="auto"/>
              <w:right w:val="single" w:sz="4" w:space="0" w:color="auto"/>
            </w:tcBorders>
            <w:shd w:val="clear" w:color="auto" w:fill="auto"/>
            <w:hideMark/>
          </w:tcPr>
          <w:p w14:paraId="4851BAC8" w14:textId="77777777"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Aumento visitas al médico (35%)</w:t>
            </w:r>
          </w:p>
        </w:tc>
        <w:tc>
          <w:tcPr>
            <w:tcW w:w="2835" w:type="dxa"/>
            <w:tcBorders>
              <w:top w:val="nil"/>
              <w:left w:val="nil"/>
              <w:bottom w:val="single" w:sz="4" w:space="0" w:color="auto"/>
              <w:right w:val="single" w:sz="4" w:space="0" w:color="auto"/>
            </w:tcBorders>
            <w:shd w:val="clear" w:color="auto" w:fill="auto"/>
            <w:hideMark/>
          </w:tcPr>
          <w:p w14:paraId="027765EC" w14:textId="5CA57498"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Número de visitas adicionales al médico por hogar al año</w:t>
            </w:r>
          </w:p>
        </w:tc>
        <w:tc>
          <w:tcPr>
            <w:tcW w:w="3367" w:type="dxa"/>
            <w:tcBorders>
              <w:top w:val="nil"/>
              <w:left w:val="nil"/>
              <w:bottom w:val="single" w:sz="4" w:space="0" w:color="auto"/>
              <w:right w:val="single" w:sz="4" w:space="0" w:color="auto"/>
            </w:tcBorders>
            <w:shd w:val="clear" w:color="auto" w:fill="auto"/>
            <w:hideMark/>
          </w:tcPr>
          <w:p w14:paraId="398DCB5A" w14:textId="7B74496E"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Costo promedio de consulta médica por visita (EPS subsidiada o particular: $40.000 – $80.000 por visita)</w:t>
            </w:r>
          </w:p>
        </w:tc>
      </w:tr>
      <w:tr w:rsidR="00ED5BA1" w:rsidRPr="00ED5BA1" w14:paraId="6C2C79D4" w14:textId="77777777" w:rsidTr="00ED5BA1">
        <w:trPr>
          <w:trHeight w:val="558"/>
        </w:trPr>
        <w:tc>
          <w:tcPr>
            <w:tcW w:w="2263" w:type="dxa"/>
            <w:tcBorders>
              <w:top w:val="nil"/>
              <w:left w:val="single" w:sz="4" w:space="0" w:color="auto"/>
              <w:bottom w:val="single" w:sz="4" w:space="0" w:color="auto"/>
              <w:right w:val="single" w:sz="4" w:space="0" w:color="auto"/>
            </w:tcBorders>
            <w:shd w:val="clear" w:color="auto" w:fill="auto"/>
            <w:hideMark/>
          </w:tcPr>
          <w:p w14:paraId="305C74F0" w14:textId="77777777"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Familias con afectaciones emocionales no tratadas</w:t>
            </w:r>
          </w:p>
        </w:tc>
        <w:tc>
          <w:tcPr>
            <w:tcW w:w="2835" w:type="dxa"/>
            <w:tcBorders>
              <w:top w:val="nil"/>
              <w:left w:val="nil"/>
              <w:bottom w:val="single" w:sz="4" w:space="0" w:color="auto"/>
              <w:right w:val="single" w:sz="4" w:space="0" w:color="auto"/>
            </w:tcBorders>
            <w:shd w:val="clear" w:color="auto" w:fill="auto"/>
            <w:hideMark/>
          </w:tcPr>
          <w:p w14:paraId="65FEE7B0" w14:textId="5EDE123B"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 xml:space="preserve">% de hogares </w:t>
            </w:r>
            <w:r w:rsidR="00094845">
              <w:rPr>
                <w:rFonts w:ascii="Times New Roman" w:eastAsia="Times New Roman" w:hAnsi="Times New Roman" w:cs="Times New Roman"/>
                <w:color w:val="000000"/>
                <w:kern w:val="0"/>
                <w:lang w:eastAsia="es-CO"/>
                <w14:ligatures w14:val="none"/>
              </w:rPr>
              <w:t xml:space="preserve">con </w:t>
            </w:r>
            <w:r w:rsidR="00094845" w:rsidRPr="00ED5BA1">
              <w:rPr>
                <w:rFonts w:ascii="Times New Roman" w:eastAsia="Times New Roman" w:hAnsi="Times New Roman" w:cs="Times New Roman"/>
                <w:color w:val="000000"/>
                <w:kern w:val="0"/>
                <w:lang w:eastAsia="es-CO"/>
                <w14:ligatures w14:val="none"/>
              </w:rPr>
              <w:t>afectaciones emocionales no tratadas</w:t>
            </w:r>
          </w:p>
        </w:tc>
        <w:tc>
          <w:tcPr>
            <w:tcW w:w="3367" w:type="dxa"/>
            <w:tcBorders>
              <w:top w:val="nil"/>
              <w:left w:val="nil"/>
              <w:bottom w:val="single" w:sz="4" w:space="0" w:color="auto"/>
              <w:right w:val="single" w:sz="4" w:space="0" w:color="auto"/>
            </w:tcBorders>
            <w:shd w:val="clear" w:color="auto" w:fill="auto"/>
            <w:hideMark/>
          </w:tcPr>
          <w:p w14:paraId="7F0B363B" w14:textId="1A919F97"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Costo de atención psicológica comunitaria no provista: referencia de programas públicos: $550.000/año por hogar en riesgo (estimación basada en planes de atención primaria en salud mental del Ministerio de Salud)</w:t>
            </w:r>
          </w:p>
        </w:tc>
      </w:tr>
      <w:tr w:rsidR="00ED5BA1" w:rsidRPr="00ED5BA1" w14:paraId="0696D009" w14:textId="77777777" w:rsidTr="00EC3F89">
        <w:trPr>
          <w:trHeight w:val="1180"/>
        </w:trPr>
        <w:tc>
          <w:tcPr>
            <w:tcW w:w="2263" w:type="dxa"/>
            <w:tcBorders>
              <w:top w:val="nil"/>
              <w:left w:val="single" w:sz="4" w:space="0" w:color="auto"/>
              <w:bottom w:val="single" w:sz="4" w:space="0" w:color="auto"/>
              <w:right w:val="single" w:sz="4" w:space="0" w:color="auto"/>
            </w:tcBorders>
            <w:shd w:val="clear" w:color="auto" w:fill="auto"/>
            <w:hideMark/>
          </w:tcPr>
          <w:p w14:paraId="014AB8B9" w14:textId="77777777"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Casa propia (100%)</w:t>
            </w:r>
          </w:p>
        </w:tc>
        <w:tc>
          <w:tcPr>
            <w:tcW w:w="2835" w:type="dxa"/>
            <w:tcBorders>
              <w:top w:val="nil"/>
              <w:left w:val="nil"/>
              <w:bottom w:val="single" w:sz="4" w:space="0" w:color="auto"/>
              <w:right w:val="single" w:sz="4" w:space="0" w:color="auto"/>
            </w:tcBorders>
            <w:shd w:val="clear" w:color="auto" w:fill="auto"/>
            <w:hideMark/>
          </w:tcPr>
          <w:p w14:paraId="2A9D4AAE" w14:textId="7389B482"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 de hogares con título de propiedad formal o tenencia asegurada</w:t>
            </w:r>
          </w:p>
        </w:tc>
        <w:tc>
          <w:tcPr>
            <w:tcW w:w="3367" w:type="dxa"/>
            <w:tcBorders>
              <w:top w:val="nil"/>
              <w:left w:val="nil"/>
              <w:bottom w:val="single" w:sz="4" w:space="0" w:color="auto"/>
              <w:right w:val="single" w:sz="4" w:space="0" w:color="auto"/>
            </w:tcBorders>
            <w:shd w:val="clear" w:color="auto" w:fill="auto"/>
            <w:hideMark/>
          </w:tcPr>
          <w:p w14:paraId="6F46B4E6" w14:textId="7498DF96"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Valor de subsidio habitacional promedio equivalente ($35 millones por hogar según MinVivienda)</w:t>
            </w:r>
          </w:p>
        </w:tc>
      </w:tr>
      <w:tr w:rsidR="00ED5BA1" w:rsidRPr="00ED5BA1" w14:paraId="74C79522" w14:textId="77777777" w:rsidTr="00EC3F89">
        <w:trPr>
          <w:trHeight w:val="1693"/>
        </w:trPr>
        <w:tc>
          <w:tcPr>
            <w:tcW w:w="2263" w:type="dxa"/>
            <w:tcBorders>
              <w:top w:val="nil"/>
              <w:left w:val="single" w:sz="4" w:space="0" w:color="auto"/>
              <w:bottom w:val="single" w:sz="4" w:space="0" w:color="auto"/>
              <w:right w:val="single" w:sz="4" w:space="0" w:color="auto"/>
            </w:tcBorders>
            <w:shd w:val="clear" w:color="auto" w:fill="auto"/>
            <w:hideMark/>
          </w:tcPr>
          <w:p w14:paraId="62B79780" w14:textId="77777777"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Mejores redes de apoyo (100%)</w:t>
            </w:r>
          </w:p>
        </w:tc>
        <w:tc>
          <w:tcPr>
            <w:tcW w:w="2835" w:type="dxa"/>
            <w:tcBorders>
              <w:top w:val="nil"/>
              <w:left w:val="nil"/>
              <w:bottom w:val="single" w:sz="4" w:space="0" w:color="auto"/>
              <w:right w:val="single" w:sz="4" w:space="0" w:color="auto"/>
            </w:tcBorders>
            <w:shd w:val="clear" w:color="auto" w:fill="auto"/>
            <w:hideMark/>
          </w:tcPr>
          <w:p w14:paraId="383BE61D" w14:textId="1C4A17C8"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 de familias que reportan mayor interacción vecinal o comunitaria</w:t>
            </w:r>
          </w:p>
        </w:tc>
        <w:tc>
          <w:tcPr>
            <w:tcW w:w="3367" w:type="dxa"/>
            <w:tcBorders>
              <w:top w:val="nil"/>
              <w:left w:val="nil"/>
              <w:bottom w:val="single" w:sz="4" w:space="0" w:color="auto"/>
              <w:right w:val="single" w:sz="4" w:space="0" w:color="auto"/>
            </w:tcBorders>
            <w:shd w:val="clear" w:color="auto" w:fill="auto"/>
            <w:hideMark/>
          </w:tcPr>
          <w:p w14:paraId="6CF7AD7D" w14:textId="600EADEB"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Valor de capital social estimado por actividades de cuidado mutuo, vigilancia, apoyo emocional: $250.000/año/hogar (basado en modelos de cuidado comunitario urbano)</w:t>
            </w:r>
          </w:p>
        </w:tc>
      </w:tr>
      <w:tr w:rsidR="00ED5BA1" w:rsidRPr="00ED5BA1" w14:paraId="0174BBC2" w14:textId="77777777" w:rsidTr="00ED5BA1">
        <w:trPr>
          <w:trHeight w:val="54"/>
        </w:trPr>
        <w:tc>
          <w:tcPr>
            <w:tcW w:w="2263" w:type="dxa"/>
            <w:tcBorders>
              <w:top w:val="nil"/>
              <w:left w:val="single" w:sz="4" w:space="0" w:color="auto"/>
              <w:bottom w:val="single" w:sz="4" w:space="0" w:color="auto"/>
              <w:right w:val="single" w:sz="4" w:space="0" w:color="auto"/>
            </w:tcBorders>
            <w:shd w:val="clear" w:color="auto" w:fill="auto"/>
            <w:hideMark/>
          </w:tcPr>
          <w:p w14:paraId="27B13BF4" w14:textId="143CBFA3"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 xml:space="preserve">Acceso a servicio básicos Agua, </w:t>
            </w:r>
            <w:r w:rsidR="000C00EC">
              <w:rPr>
                <w:rFonts w:ascii="Times New Roman" w:eastAsia="Times New Roman" w:hAnsi="Times New Roman" w:cs="Times New Roman"/>
                <w:color w:val="000000"/>
                <w:kern w:val="0"/>
                <w:lang w:eastAsia="es-CO"/>
                <w14:ligatures w14:val="none"/>
              </w:rPr>
              <w:t xml:space="preserve">Energía, </w:t>
            </w:r>
            <w:r w:rsidRPr="00ED5BA1">
              <w:rPr>
                <w:rFonts w:ascii="Times New Roman" w:eastAsia="Times New Roman" w:hAnsi="Times New Roman" w:cs="Times New Roman"/>
                <w:color w:val="000000"/>
                <w:kern w:val="0"/>
                <w:lang w:eastAsia="es-CO"/>
                <w14:ligatures w14:val="none"/>
              </w:rPr>
              <w:t>Gas, Internet y transporte (100%)</w:t>
            </w:r>
          </w:p>
        </w:tc>
        <w:tc>
          <w:tcPr>
            <w:tcW w:w="2835" w:type="dxa"/>
            <w:tcBorders>
              <w:top w:val="nil"/>
              <w:left w:val="nil"/>
              <w:bottom w:val="single" w:sz="4" w:space="0" w:color="auto"/>
              <w:right w:val="single" w:sz="4" w:space="0" w:color="auto"/>
            </w:tcBorders>
            <w:shd w:val="clear" w:color="auto" w:fill="auto"/>
            <w:hideMark/>
          </w:tcPr>
          <w:p w14:paraId="5555CA31" w14:textId="0F06B7A6"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 de hogares con cobertura total de servicios públicos formales</w:t>
            </w:r>
          </w:p>
        </w:tc>
        <w:tc>
          <w:tcPr>
            <w:tcW w:w="3367" w:type="dxa"/>
            <w:tcBorders>
              <w:top w:val="nil"/>
              <w:left w:val="nil"/>
              <w:bottom w:val="single" w:sz="4" w:space="0" w:color="auto"/>
              <w:right w:val="single" w:sz="4" w:space="0" w:color="auto"/>
            </w:tcBorders>
            <w:shd w:val="clear" w:color="auto" w:fill="auto"/>
            <w:hideMark/>
          </w:tcPr>
          <w:p w14:paraId="573AAFBD" w14:textId="3A71978D"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Valor de infraestructura básica por hogar instalado (estimado por entidad prestadora de servicios): $1.800.000–$2.200.000 por hogar conectado</w:t>
            </w:r>
          </w:p>
        </w:tc>
      </w:tr>
      <w:tr w:rsidR="00ED5BA1" w:rsidRPr="00ED5BA1" w14:paraId="3004A1B5" w14:textId="77777777" w:rsidTr="00ED5BA1">
        <w:trPr>
          <w:trHeight w:val="2225"/>
        </w:trPr>
        <w:tc>
          <w:tcPr>
            <w:tcW w:w="2263" w:type="dxa"/>
            <w:tcBorders>
              <w:top w:val="nil"/>
              <w:left w:val="single" w:sz="4" w:space="0" w:color="auto"/>
              <w:bottom w:val="single" w:sz="4" w:space="0" w:color="auto"/>
              <w:right w:val="single" w:sz="4" w:space="0" w:color="auto"/>
            </w:tcBorders>
            <w:shd w:val="clear" w:color="auto" w:fill="auto"/>
            <w:hideMark/>
          </w:tcPr>
          <w:p w14:paraId="7653A9A3" w14:textId="77777777"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Reducción de emisiones aprox. 48%</w:t>
            </w:r>
          </w:p>
        </w:tc>
        <w:tc>
          <w:tcPr>
            <w:tcW w:w="2835" w:type="dxa"/>
            <w:tcBorders>
              <w:top w:val="nil"/>
              <w:left w:val="nil"/>
              <w:bottom w:val="single" w:sz="4" w:space="0" w:color="auto"/>
              <w:right w:val="single" w:sz="4" w:space="0" w:color="auto"/>
            </w:tcBorders>
            <w:shd w:val="clear" w:color="auto" w:fill="auto"/>
            <w:hideMark/>
          </w:tcPr>
          <w:p w14:paraId="029FB9D9" w14:textId="20C973F5"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kg CO₂-eq evitados por vivienda construida en sistema Steel Frame vs. sistema convencional</w:t>
            </w:r>
          </w:p>
        </w:tc>
        <w:tc>
          <w:tcPr>
            <w:tcW w:w="3367" w:type="dxa"/>
            <w:tcBorders>
              <w:top w:val="nil"/>
              <w:left w:val="nil"/>
              <w:bottom w:val="single" w:sz="4" w:space="0" w:color="auto"/>
              <w:right w:val="single" w:sz="4" w:space="0" w:color="auto"/>
            </w:tcBorders>
            <w:shd w:val="clear" w:color="auto" w:fill="auto"/>
            <w:hideMark/>
          </w:tcPr>
          <w:p w14:paraId="44A95A93" w14:textId="0D4E4CCD"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Precio social del carbono (ej. $90 USD/tCO₂-eq, ≈ $360.000 por tCO₂-eq evitada); si se evitan ~60.000 kg CO₂-eq por proyecto → $21.600.000 por proyecto</w:t>
            </w:r>
          </w:p>
        </w:tc>
      </w:tr>
      <w:tr w:rsidR="00ED5BA1" w:rsidRPr="00ED5BA1" w14:paraId="75D502C7" w14:textId="77777777" w:rsidTr="00EC3F89">
        <w:trPr>
          <w:trHeight w:val="46"/>
        </w:trPr>
        <w:tc>
          <w:tcPr>
            <w:tcW w:w="2263" w:type="dxa"/>
            <w:tcBorders>
              <w:top w:val="nil"/>
              <w:left w:val="single" w:sz="4" w:space="0" w:color="auto"/>
              <w:bottom w:val="single" w:sz="4" w:space="0" w:color="auto"/>
              <w:right w:val="single" w:sz="4" w:space="0" w:color="auto"/>
            </w:tcBorders>
            <w:shd w:val="clear" w:color="auto" w:fill="auto"/>
            <w:hideMark/>
          </w:tcPr>
          <w:p w14:paraId="3CBC613D" w14:textId="77777777"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lastRenderedPageBreak/>
              <w:t>Reducción de residuos sólidos (87%)</w:t>
            </w:r>
          </w:p>
        </w:tc>
        <w:tc>
          <w:tcPr>
            <w:tcW w:w="2835" w:type="dxa"/>
            <w:tcBorders>
              <w:top w:val="nil"/>
              <w:left w:val="nil"/>
              <w:bottom w:val="single" w:sz="4" w:space="0" w:color="auto"/>
              <w:right w:val="single" w:sz="4" w:space="0" w:color="auto"/>
            </w:tcBorders>
            <w:shd w:val="clear" w:color="auto" w:fill="auto"/>
            <w:hideMark/>
          </w:tcPr>
          <w:p w14:paraId="21EB3BC0" w14:textId="7B246F43"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Toneladas de residuos evitados por vivienda construida</w:t>
            </w:r>
          </w:p>
        </w:tc>
        <w:tc>
          <w:tcPr>
            <w:tcW w:w="3367" w:type="dxa"/>
            <w:tcBorders>
              <w:top w:val="nil"/>
              <w:left w:val="nil"/>
              <w:bottom w:val="single" w:sz="4" w:space="0" w:color="auto"/>
              <w:right w:val="single" w:sz="4" w:space="0" w:color="auto"/>
            </w:tcBorders>
            <w:shd w:val="clear" w:color="auto" w:fill="auto"/>
            <w:hideMark/>
          </w:tcPr>
          <w:p w14:paraId="585FFF61" w14:textId="3FCD462A"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Costo de disposición final de residuos de construcción (p.ej., $120.000 por tonelada × 20 t evitadas = $2.400.000)</w:t>
            </w:r>
            <w:r w:rsidRPr="00ED5BA1">
              <w:rPr>
                <w:rFonts w:ascii="Times New Roman" w:eastAsia="Times New Roman" w:hAnsi="Times New Roman" w:cs="Times New Roman"/>
                <w:color w:val="000000"/>
                <w:kern w:val="0"/>
                <w:lang w:eastAsia="es-CO"/>
                <w14:ligatures w14:val="none"/>
              </w:rPr>
              <w:br/>
            </w:r>
          </w:p>
        </w:tc>
      </w:tr>
      <w:tr w:rsidR="00ED5BA1" w:rsidRPr="00ED5BA1" w14:paraId="6E182092" w14:textId="77777777" w:rsidTr="00EC3F89">
        <w:trPr>
          <w:trHeight w:val="143"/>
        </w:trPr>
        <w:tc>
          <w:tcPr>
            <w:tcW w:w="2263" w:type="dxa"/>
            <w:tcBorders>
              <w:top w:val="nil"/>
              <w:left w:val="single" w:sz="4" w:space="0" w:color="auto"/>
              <w:bottom w:val="single" w:sz="4" w:space="0" w:color="auto"/>
              <w:right w:val="single" w:sz="4" w:space="0" w:color="auto"/>
            </w:tcBorders>
            <w:shd w:val="clear" w:color="auto" w:fill="auto"/>
            <w:hideMark/>
          </w:tcPr>
          <w:p w14:paraId="07D884A2" w14:textId="77777777"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Disminución del consumo de agua (53%)</w:t>
            </w:r>
          </w:p>
        </w:tc>
        <w:tc>
          <w:tcPr>
            <w:tcW w:w="2835" w:type="dxa"/>
            <w:tcBorders>
              <w:top w:val="nil"/>
              <w:left w:val="nil"/>
              <w:bottom w:val="single" w:sz="4" w:space="0" w:color="auto"/>
              <w:right w:val="single" w:sz="4" w:space="0" w:color="auto"/>
            </w:tcBorders>
            <w:shd w:val="clear" w:color="auto" w:fill="auto"/>
            <w:hideMark/>
          </w:tcPr>
          <w:p w14:paraId="1864E38A" w14:textId="45C66F41"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m³ de agua ahorrados por vivienda en obra</w:t>
            </w:r>
          </w:p>
        </w:tc>
        <w:tc>
          <w:tcPr>
            <w:tcW w:w="3367" w:type="dxa"/>
            <w:tcBorders>
              <w:top w:val="nil"/>
              <w:left w:val="nil"/>
              <w:bottom w:val="single" w:sz="4" w:space="0" w:color="auto"/>
              <w:right w:val="single" w:sz="4" w:space="0" w:color="auto"/>
            </w:tcBorders>
            <w:shd w:val="clear" w:color="auto" w:fill="auto"/>
            <w:hideMark/>
          </w:tcPr>
          <w:p w14:paraId="7179F0CF" w14:textId="67352D89" w:rsidR="00ED5BA1" w:rsidRPr="00ED5BA1" w:rsidRDefault="00ED5BA1" w:rsidP="00ED5BA1">
            <w:pPr>
              <w:spacing w:after="0" w:line="240" w:lineRule="auto"/>
              <w:rPr>
                <w:rFonts w:ascii="Times New Roman" w:eastAsia="Times New Roman" w:hAnsi="Times New Roman" w:cs="Times New Roman"/>
                <w:color w:val="000000"/>
                <w:kern w:val="0"/>
                <w:lang w:eastAsia="es-CO"/>
                <w14:ligatures w14:val="none"/>
              </w:rPr>
            </w:pPr>
            <w:r w:rsidRPr="00ED5BA1">
              <w:rPr>
                <w:rFonts w:ascii="Times New Roman" w:eastAsia="Times New Roman" w:hAnsi="Times New Roman" w:cs="Times New Roman"/>
                <w:color w:val="000000"/>
                <w:kern w:val="0"/>
                <w:lang w:eastAsia="es-CO"/>
                <w14:ligatures w14:val="none"/>
              </w:rPr>
              <w:t>Costo promedio de agua potable: $4.000/m³ × 27 m³ ahorrados = $108.000 por vivienda</w:t>
            </w:r>
          </w:p>
        </w:tc>
      </w:tr>
    </w:tbl>
    <w:p w14:paraId="0E723EF9" w14:textId="77777777" w:rsidR="007C13F7" w:rsidRPr="00230B7D" w:rsidRDefault="007C13F7" w:rsidP="007C13F7">
      <w:pPr>
        <w:rPr>
          <w:rFonts w:ascii="Times New Roman" w:hAnsi="Times New Roman" w:cs="Times New Roman"/>
        </w:rPr>
      </w:pPr>
    </w:p>
    <w:p w14:paraId="36297851" w14:textId="14369EAE" w:rsidR="007C13F7" w:rsidRPr="007C13F7" w:rsidRDefault="007C13F7" w:rsidP="007C13F7">
      <w:pPr>
        <w:numPr>
          <w:ilvl w:val="0"/>
          <w:numId w:val="4"/>
        </w:numPr>
        <w:rPr>
          <w:rFonts w:ascii="Times New Roman" w:hAnsi="Times New Roman" w:cs="Times New Roman"/>
        </w:rPr>
      </w:pPr>
      <w:r w:rsidRPr="007C13F7">
        <w:rPr>
          <w:rFonts w:ascii="Times New Roman" w:hAnsi="Times New Roman" w:cs="Times New Roman"/>
          <w:b/>
          <w:bCs/>
        </w:rPr>
        <w:t>Fuentes de datos utilizadas:</w:t>
      </w:r>
    </w:p>
    <w:p w14:paraId="6FF97A23" w14:textId="77777777" w:rsidR="007C13F7" w:rsidRPr="007C13F7" w:rsidRDefault="007C13F7" w:rsidP="007C13F7">
      <w:pPr>
        <w:numPr>
          <w:ilvl w:val="1"/>
          <w:numId w:val="7"/>
        </w:numPr>
        <w:spacing w:after="0"/>
        <w:rPr>
          <w:rFonts w:ascii="Times New Roman" w:hAnsi="Times New Roman" w:cs="Times New Roman"/>
        </w:rPr>
      </w:pPr>
      <w:r w:rsidRPr="007C13F7">
        <w:rPr>
          <w:rFonts w:ascii="Times New Roman" w:hAnsi="Times New Roman" w:cs="Times New Roman"/>
        </w:rPr>
        <w:t>Encuesta aplicada a beneficiarios.</w:t>
      </w:r>
    </w:p>
    <w:p w14:paraId="50CF9231" w14:textId="77777777" w:rsidR="007C13F7" w:rsidRPr="007C13F7" w:rsidRDefault="007C13F7" w:rsidP="007C13F7">
      <w:pPr>
        <w:numPr>
          <w:ilvl w:val="1"/>
          <w:numId w:val="7"/>
        </w:numPr>
        <w:spacing w:after="0"/>
        <w:rPr>
          <w:rFonts w:ascii="Times New Roman" w:hAnsi="Times New Roman" w:cs="Times New Roman"/>
        </w:rPr>
      </w:pPr>
      <w:r w:rsidRPr="007C13F7">
        <w:rPr>
          <w:rFonts w:ascii="Times New Roman" w:hAnsi="Times New Roman" w:cs="Times New Roman"/>
        </w:rPr>
        <w:t>Entrevistas a expertos técnicos.</w:t>
      </w:r>
    </w:p>
    <w:p w14:paraId="462836D8" w14:textId="77777777" w:rsidR="007C13F7" w:rsidRPr="007C13F7" w:rsidRDefault="007C13F7" w:rsidP="007C13F7">
      <w:pPr>
        <w:numPr>
          <w:ilvl w:val="1"/>
          <w:numId w:val="7"/>
        </w:numPr>
        <w:spacing w:after="0"/>
        <w:rPr>
          <w:rFonts w:ascii="Times New Roman" w:hAnsi="Times New Roman" w:cs="Times New Roman"/>
        </w:rPr>
      </w:pPr>
      <w:r w:rsidRPr="007C13F7">
        <w:rPr>
          <w:rFonts w:ascii="Times New Roman" w:hAnsi="Times New Roman" w:cs="Times New Roman"/>
        </w:rPr>
        <w:t>Estudios de caso previos en vivienda social.</w:t>
      </w:r>
    </w:p>
    <w:p w14:paraId="0FCCDC88" w14:textId="77777777" w:rsidR="007C13F7" w:rsidRPr="007C13F7" w:rsidRDefault="007C13F7" w:rsidP="007C13F7">
      <w:pPr>
        <w:numPr>
          <w:ilvl w:val="1"/>
          <w:numId w:val="7"/>
        </w:numPr>
        <w:spacing w:after="0"/>
        <w:rPr>
          <w:rFonts w:ascii="Times New Roman" w:hAnsi="Times New Roman" w:cs="Times New Roman"/>
        </w:rPr>
      </w:pPr>
      <w:r w:rsidRPr="007C13F7">
        <w:rPr>
          <w:rFonts w:ascii="Times New Roman" w:hAnsi="Times New Roman" w:cs="Times New Roman"/>
        </w:rPr>
        <w:t>Bases de datos de salud pública y vivienda del DANE y Ministerio de Vivienda.</w:t>
      </w:r>
    </w:p>
    <w:p w14:paraId="4134FBA3" w14:textId="67AE0916" w:rsidR="007C13F7" w:rsidRPr="00230B7D" w:rsidRDefault="007C13F7" w:rsidP="007C13F7">
      <w:pPr>
        <w:numPr>
          <w:ilvl w:val="1"/>
          <w:numId w:val="7"/>
        </w:numPr>
        <w:spacing w:after="0"/>
        <w:rPr>
          <w:rFonts w:ascii="Times New Roman" w:hAnsi="Times New Roman" w:cs="Times New Roman"/>
        </w:rPr>
      </w:pPr>
      <w:r w:rsidRPr="007C13F7">
        <w:rPr>
          <w:rFonts w:ascii="Times New Roman" w:hAnsi="Times New Roman" w:cs="Times New Roman"/>
        </w:rPr>
        <w:t>Literatur</w:t>
      </w:r>
      <w:r w:rsidR="00E81B0B" w:rsidRPr="00230B7D">
        <w:rPr>
          <w:rFonts w:ascii="Times New Roman" w:hAnsi="Times New Roman" w:cs="Times New Roman"/>
        </w:rPr>
        <w:t xml:space="preserve">a </w:t>
      </w:r>
      <w:r w:rsidRPr="007C13F7">
        <w:rPr>
          <w:rFonts w:ascii="Times New Roman" w:hAnsi="Times New Roman" w:cs="Times New Roman"/>
        </w:rPr>
        <w:t>y reportes de impacto en proyectos similares.</w:t>
      </w:r>
    </w:p>
    <w:p w14:paraId="28A678D4" w14:textId="77777777" w:rsidR="007C13F7" w:rsidRPr="007C13F7" w:rsidRDefault="007C13F7" w:rsidP="007C13F7">
      <w:pPr>
        <w:numPr>
          <w:ilvl w:val="0"/>
          <w:numId w:val="4"/>
        </w:numPr>
        <w:rPr>
          <w:rFonts w:ascii="Times New Roman" w:hAnsi="Times New Roman" w:cs="Times New Roman"/>
        </w:rPr>
      </w:pPr>
      <w:r w:rsidRPr="007C13F7">
        <w:rPr>
          <w:rFonts w:ascii="Times New Roman" w:hAnsi="Times New Roman" w:cs="Times New Roman"/>
          <w:b/>
          <w:bCs/>
        </w:rPr>
        <w:t>Priorización de resultados más significativos</w:t>
      </w:r>
      <w:r w:rsidRPr="007C13F7">
        <w:rPr>
          <w:rFonts w:ascii="Times New Roman" w:hAnsi="Times New Roman" w:cs="Times New Roman"/>
        </w:rPr>
        <w:t>: En función de materialidad (lo que más valoran los beneficiarios), potencial de monetización, y disponibilidad de datos, se priorizaron los siguientes resultados para su valoración detallada:</w:t>
      </w:r>
    </w:p>
    <w:p w14:paraId="157623FA" w14:textId="77777777" w:rsidR="007C13F7" w:rsidRPr="007C13F7" w:rsidRDefault="007C13F7" w:rsidP="007C13F7">
      <w:pPr>
        <w:numPr>
          <w:ilvl w:val="1"/>
          <w:numId w:val="8"/>
        </w:numPr>
        <w:spacing w:after="0"/>
        <w:ind w:left="1434" w:hanging="357"/>
        <w:rPr>
          <w:rFonts w:ascii="Times New Roman" w:hAnsi="Times New Roman" w:cs="Times New Roman"/>
        </w:rPr>
      </w:pPr>
      <w:r w:rsidRPr="007C13F7">
        <w:rPr>
          <w:rFonts w:ascii="Times New Roman" w:hAnsi="Times New Roman" w:cs="Times New Roman"/>
        </w:rPr>
        <w:t>Reducción de pobreza y aumento de ingresos.</w:t>
      </w:r>
    </w:p>
    <w:p w14:paraId="704EE1D1" w14:textId="77777777" w:rsidR="007C13F7" w:rsidRPr="007C13F7" w:rsidRDefault="007C13F7" w:rsidP="007C13F7">
      <w:pPr>
        <w:numPr>
          <w:ilvl w:val="1"/>
          <w:numId w:val="8"/>
        </w:numPr>
        <w:spacing w:after="0"/>
        <w:ind w:left="1434" w:hanging="357"/>
        <w:rPr>
          <w:rFonts w:ascii="Times New Roman" w:hAnsi="Times New Roman" w:cs="Times New Roman"/>
        </w:rPr>
      </w:pPr>
      <w:r w:rsidRPr="007C13F7">
        <w:rPr>
          <w:rFonts w:ascii="Times New Roman" w:hAnsi="Times New Roman" w:cs="Times New Roman"/>
        </w:rPr>
        <w:t>Mejora de la salud y reducción de gastos médicos.</w:t>
      </w:r>
    </w:p>
    <w:p w14:paraId="1D3A1161" w14:textId="77777777" w:rsidR="007C13F7" w:rsidRPr="007C13F7" w:rsidRDefault="007C13F7" w:rsidP="007C13F7">
      <w:pPr>
        <w:numPr>
          <w:ilvl w:val="1"/>
          <w:numId w:val="8"/>
        </w:numPr>
        <w:spacing w:after="0"/>
        <w:ind w:left="1434" w:hanging="357"/>
        <w:rPr>
          <w:rFonts w:ascii="Times New Roman" w:hAnsi="Times New Roman" w:cs="Times New Roman"/>
        </w:rPr>
      </w:pPr>
      <w:r w:rsidRPr="007C13F7">
        <w:rPr>
          <w:rFonts w:ascii="Times New Roman" w:hAnsi="Times New Roman" w:cs="Times New Roman"/>
        </w:rPr>
        <w:t>Incremento en seguridad habitacional y percepción de bienestar.</w:t>
      </w:r>
    </w:p>
    <w:p w14:paraId="57B972DB" w14:textId="77777777" w:rsidR="007C13F7" w:rsidRPr="00230B7D" w:rsidRDefault="007C13F7" w:rsidP="007C13F7">
      <w:pPr>
        <w:numPr>
          <w:ilvl w:val="1"/>
          <w:numId w:val="8"/>
        </w:numPr>
        <w:spacing w:after="0"/>
        <w:ind w:left="1434" w:hanging="357"/>
        <w:rPr>
          <w:rFonts w:ascii="Times New Roman" w:hAnsi="Times New Roman" w:cs="Times New Roman"/>
        </w:rPr>
      </w:pPr>
      <w:r w:rsidRPr="007C13F7">
        <w:rPr>
          <w:rFonts w:ascii="Times New Roman" w:hAnsi="Times New Roman" w:cs="Times New Roman"/>
        </w:rPr>
        <w:t>Disminución de huella ambiental por cambio de materiales y procesos.</w:t>
      </w:r>
    </w:p>
    <w:p w14:paraId="07AA3156" w14:textId="77777777" w:rsidR="007C13F7" w:rsidRPr="007C13F7" w:rsidRDefault="007C13F7" w:rsidP="007C13F7">
      <w:pPr>
        <w:spacing w:after="0"/>
        <w:ind w:left="1434"/>
        <w:rPr>
          <w:rFonts w:ascii="Times New Roman" w:hAnsi="Times New Roman" w:cs="Times New Roman"/>
        </w:rPr>
      </w:pPr>
    </w:p>
    <w:p w14:paraId="00781361" w14:textId="77777777" w:rsidR="007C13F7" w:rsidRPr="007C13F7" w:rsidRDefault="007C13F7" w:rsidP="007C13F7">
      <w:pPr>
        <w:numPr>
          <w:ilvl w:val="0"/>
          <w:numId w:val="4"/>
        </w:numPr>
        <w:rPr>
          <w:rFonts w:ascii="Times New Roman" w:hAnsi="Times New Roman" w:cs="Times New Roman"/>
        </w:rPr>
      </w:pPr>
      <w:r w:rsidRPr="007C13F7">
        <w:rPr>
          <w:rFonts w:ascii="Times New Roman" w:hAnsi="Times New Roman" w:cs="Times New Roman"/>
          <w:b/>
          <w:bCs/>
        </w:rPr>
        <w:t>Siguientes pasos</w:t>
      </w:r>
      <w:r w:rsidRPr="007C13F7">
        <w:rPr>
          <w:rFonts w:ascii="Times New Roman" w:hAnsi="Times New Roman" w:cs="Times New Roman"/>
        </w:rPr>
        <w:t xml:space="preserve">: Se avanzará en la triangulación de estos valores con herramientas de valuación como el </w:t>
      </w:r>
      <w:r w:rsidRPr="007C13F7">
        <w:rPr>
          <w:rFonts w:ascii="Times New Roman" w:hAnsi="Times New Roman" w:cs="Times New Roman"/>
          <w:b/>
          <w:bCs/>
        </w:rPr>
        <w:t>Global Value Exchange</w:t>
      </w:r>
      <w:r w:rsidRPr="007C13F7">
        <w:rPr>
          <w:rFonts w:ascii="Times New Roman" w:hAnsi="Times New Roman" w:cs="Times New Roman"/>
        </w:rPr>
        <w:t>, tablas de costo evitado y métodos hedónicos para reflejar externalidades sociales y ambientales.</w:t>
      </w:r>
    </w:p>
    <w:p w14:paraId="198C1F39" w14:textId="06D5302F" w:rsidR="007C13F7" w:rsidRPr="007C13F7" w:rsidRDefault="007C13F7" w:rsidP="007C13F7">
      <w:pPr>
        <w:rPr>
          <w:rFonts w:ascii="Times New Roman" w:hAnsi="Times New Roman" w:cs="Times New Roman"/>
        </w:rPr>
      </w:pPr>
    </w:p>
    <w:p w14:paraId="3B42EC9F" w14:textId="64B26848" w:rsidR="007C13F7" w:rsidRPr="007C13F7" w:rsidRDefault="007C13F7" w:rsidP="007C13F7">
      <w:pPr>
        <w:rPr>
          <w:rFonts w:ascii="Times New Roman" w:hAnsi="Times New Roman" w:cs="Times New Roman"/>
        </w:rPr>
      </w:pPr>
      <w:r w:rsidRPr="007C13F7">
        <w:rPr>
          <w:rFonts w:ascii="Times New Roman" w:hAnsi="Times New Roman" w:cs="Times New Roman"/>
        </w:rPr>
        <w:t xml:space="preserve">La implementación del SROI en el análisis del modelo “Casa para Mí” constituye un paso fundamental para </w:t>
      </w:r>
      <w:r w:rsidRPr="007C13F7">
        <w:rPr>
          <w:rFonts w:ascii="Times New Roman" w:hAnsi="Times New Roman" w:cs="Times New Roman"/>
          <w:b/>
          <w:bCs/>
        </w:rPr>
        <w:t>dimensionar integralmente el valor social y ambiental</w:t>
      </w:r>
      <w:r w:rsidRPr="007C13F7">
        <w:rPr>
          <w:rFonts w:ascii="Times New Roman" w:hAnsi="Times New Roman" w:cs="Times New Roman"/>
        </w:rPr>
        <w:t xml:space="preserve"> de una solución innovadora a</w:t>
      </w:r>
      <w:r w:rsidR="006C5524" w:rsidRPr="00230B7D">
        <w:rPr>
          <w:rFonts w:ascii="Times New Roman" w:hAnsi="Times New Roman" w:cs="Times New Roman"/>
        </w:rPr>
        <w:t xml:space="preserve">l déficit </w:t>
      </w:r>
      <w:r w:rsidRPr="007C13F7">
        <w:rPr>
          <w:rFonts w:ascii="Times New Roman" w:hAnsi="Times New Roman" w:cs="Times New Roman"/>
        </w:rPr>
        <w:t>habitacional. No se trata únicamente de construir viviendas, sino de transformar vidas, optimizar recursos, y generar impactos con valor sostenible. Las tres primeras fases —definición del alcance, mapeo de resultados y valoración monetaria— han demostrado ser viables, rigurosas y profundamente conectadas con las experiencias reales de los beneficiarios.</w:t>
      </w:r>
    </w:p>
    <w:p w14:paraId="117C5629" w14:textId="77777777" w:rsidR="007C13F7" w:rsidRPr="007C13F7" w:rsidRDefault="007C13F7" w:rsidP="007C13F7">
      <w:pPr>
        <w:rPr>
          <w:rFonts w:ascii="Times New Roman" w:hAnsi="Times New Roman" w:cs="Times New Roman"/>
        </w:rPr>
      </w:pPr>
      <w:r w:rsidRPr="007C13F7">
        <w:rPr>
          <w:rFonts w:ascii="Times New Roman" w:hAnsi="Times New Roman" w:cs="Times New Roman"/>
        </w:rPr>
        <w:t>Este proceso no solo enriquecerá el estudio académico, sino que también ofrecerá una herramienta útil para replicar, escalar y mejorar políticas públicas y modelos de negocio social en Colombia y América Latina.</w:t>
      </w:r>
    </w:p>
    <w:p w14:paraId="13D10C91" w14:textId="77777777" w:rsidR="00FD0E1D" w:rsidRDefault="00FD0E1D"/>
    <w:p w14:paraId="61A65E55" w14:textId="111708AF" w:rsidR="00AE61F9" w:rsidRDefault="00AE61F9">
      <w:pPr>
        <w:rPr>
          <w:rFonts w:ascii="Times New Roman" w:hAnsi="Times New Roman" w:cs="Times New Roman"/>
          <w:b/>
          <w:bCs/>
        </w:rPr>
      </w:pPr>
      <w:r w:rsidRPr="00AE61F9">
        <w:rPr>
          <w:rFonts w:ascii="Times New Roman" w:hAnsi="Times New Roman" w:cs="Times New Roman"/>
          <w:b/>
          <w:bCs/>
        </w:rPr>
        <w:lastRenderedPageBreak/>
        <w:t>Principios del SROI</w:t>
      </w:r>
    </w:p>
    <w:p w14:paraId="29479B81" w14:textId="206DE0E1" w:rsidR="00486FE1" w:rsidRPr="00486FE1" w:rsidRDefault="00BE2925">
      <w:pPr>
        <w:rPr>
          <w:rFonts w:ascii="Times New Roman" w:hAnsi="Times New Roman" w:cs="Times New Roman"/>
        </w:rPr>
      </w:pPr>
      <w:r w:rsidRPr="00BE2925">
        <w:rPr>
          <w:rFonts w:ascii="Times New Roman" w:hAnsi="Times New Roman" w:cs="Times New Roman"/>
        </w:rPr>
        <w:t>El análisis del modelo de negocio Casa Para Mí permite argumentar que la metodología SROI es una herramienta adecuada para la medición de sus impactos socioambientales, en la medida en que se alinea con los ocho principios que orientan esta metodología. A continuación, se presenta cómo las distintas actividades del modelo y la evidencia documental se conectan con cada uno de dichos principios</w:t>
      </w:r>
      <w:r w:rsidR="003A4FA0" w:rsidRPr="003A4FA0">
        <w:rPr>
          <w:rFonts w:ascii="Times New Roman" w:hAnsi="Times New Roman" w:cs="Times New Roman"/>
        </w:rPr>
        <w:t>:</w:t>
      </w:r>
    </w:p>
    <w:p w14:paraId="22AF5CE6" w14:textId="77777777" w:rsidR="00C224B1" w:rsidRDefault="00C224B1" w:rsidP="00AE61F9">
      <w:pPr>
        <w:rPr>
          <w:rFonts w:ascii="Times New Roman" w:hAnsi="Times New Roman" w:cs="Times New Roman"/>
          <w:b/>
          <w:bCs/>
        </w:rPr>
      </w:pPr>
    </w:p>
    <w:p w14:paraId="0E2AF221" w14:textId="4A1BAC57" w:rsidR="00AE61F9" w:rsidRPr="00AE61F9" w:rsidRDefault="00AE61F9" w:rsidP="00AE61F9">
      <w:pPr>
        <w:rPr>
          <w:rFonts w:ascii="Times New Roman" w:hAnsi="Times New Roman" w:cs="Times New Roman"/>
          <w:b/>
          <w:bCs/>
        </w:rPr>
      </w:pPr>
      <w:r w:rsidRPr="00AE61F9">
        <w:rPr>
          <w:rFonts w:ascii="Times New Roman" w:hAnsi="Times New Roman" w:cs="Times New Roman"/>
          <w:b/>
          <w:bCs/>
        </w:rPr>
        <w:t>Principio 1: Involucrar a los grupos de interés</w:t>
      </w:r>
    </w:p>
    <w:p w14:paraId="20978BF2" w14:textId="77777777" w:rsidR="00AE61F9" w:rsidRPr="00AE61F9" w:rsidRDefault="00AE61F9" w:rsidP="00AE61F9">
      <w:pPr>
        <w:rPr>
          <w:rFonts w:ascii="Times New Roman" w:hAnsi="Times New Roman" w:cs="Times New Roman"/>
        </w:rPr>
      </w:pPr>
      <w:r w:rsidRPr="00AE61F9">
        <w:rPr>
          <w:rFonts w:ascii="Times New Roman" w:hAnsi="Times New Roman" w:cs="Times New Roman"/>
          <w:i/>
          <w:iCs/>
        </w:rPr>
        <w:t>"Comprender el cambio desde la perspectiva de aquellos que experimentan o contribuyen a él."</w:t>
      </w:r>
    </w:p>
    <w:p w14:paraId="70E07FFA" w14:textId="7FF485CA" w:rsidR="00AE61F9" w:rsidRPr="00AE61F9" w:rsidRDefault="007E2DEE" w:rsidP="00AE61F9">
      <w:pPr>
        <w:rPr>
          <w:rFonts w:ascii="Times New Roman" w:hAnsi="Times New Roman" w:cs="Times New Roman"/>
        </w:rPr>
      </w:pPr>
      <w:r>
        <w:rPr>
          <w:rFonts w:ascii="Times New Roman" w:hAnsi="Times New Roman" w:cs="Times New Roman"/>
        </w:rPr>
        <w:t>Se</w:t>
      </w:r>
      <w:r w:rsidR="00AE61F9" w:rsidRPr="00AE61F9">
        <w:rPr>
          <w:rFonts w:ascii="Times New Roman" w:hAnsi="Times New Roman" w:cs="Times New Roman"/>
        </w:rPr>
        <w:t xml:space="preserve"> </w:t>
      </w:r>
      <w:r>
        <w:rPr>
          <w:rFonts w:ascii="Times New Roman" w:hAnsi="Times New Roman" w:cs="Times New Roman"/>
        </w:rPr>
        <w:t>realizan</w:t>
      </w:r>
      <w:r w:rsidR="00AE61F9" w:rsidRPr="00AE61F9">
        <w:rPr>
          <w:rFonts w:ascii="Times New Roman" w:hAnsi="Times New Roman" w:cs="Times New Roman"/>
        </w:rPr>
        <w:t xml:space="preserve"> </w:t>
      </w:r>
      <w:r>
        <w:rPr>
          <w:rFonts w:ascii="Times New Roman" w:hAnsi="Times New Roman" w:cs="Times New Roman"/>
        </w:rPr>
        <w:t>un taller</w:t>
      </w:r>
      <w:r w:rsidR="00AE61F9" w:rsidRPr="00AE61F9">
        <w:rPr>
          <w:rFonts w:ascii="Times New Roman" w:hAnsi="Times New Roman" w:cs="Times New Roman"/>
        </w:rPr>
        <w:t xml:space="preserve"> </w:t>
      </w:r>
      <w:r>
        <w:rPr>
          <w:rFonts w:ascii="Times New Roman" w:hAnsi="Times New Roman" w:cs="Times New Roman"/>
        </w:rPr>
        <w:t xml:space="preserve">con los integrantes del equipo de Casa Para Mí </w:t>
      </w:r>
      <w:r w:rsidR="00AE61F9" w:rsidRPr="00AE61F9">
        <w:rPr>
          <w:rFonts w:ascii="Times New Roman" w:hAnsi="Times New Roman" w:cs="Times New Roman"/>
        </w:rPr>
        <w:t xml:space="preserve">y </w:t>
      </w:r>
      <w:r>
        <w:rPr>
          <w:rFonts w:ascii="Times New Roman" w:hAnsi="Times New Roman" w:cs="Times New Roman"/>
        </w:rPr>
        <w:t xml:space="preserve">un taller </w:t>
      </w:r>
      <w:r w:rsidRPr="00AE61F9">
        <w:rPr>
          <w:rFonts w:ascii="Times New Roman" w:hAnsi="Times New Roman" w:cs="Times New Roman"/>
        </w:rPr>
        <w:t xml:space="preserve">comunitario </w:t>
      </w:r>
      <w:r w:rsidR="00AE61F9" w:rsidRPr="00AE61F9">
        <w:rPr>
          <w:rFonts w:ascii="Times New Roman" w:hAnsi="Times New Roman" w:cs="Times New Roman"/>
        </w:rPr>
        <w:t>con 8 de las 10 familias beneficiarias del programa, lo cual garantiza la participación directa de los actores más relevantes. Estos espacios de cocreación permitieron validar los resultados esperados, identificar los impactos reales vividos por las comunidades y ajustar la teoría de cambio con base en sus experiencias</w:t>
      </w:r>
      <w:r>
        <w:rPr>
          <w:rFonts w:ascii="Times New Roman" w:hAnsi="Times New Roman" w:cs="Times New Roman"/>
        </w:rPr>
        <w:t xml:space="preserve"> y </w:t>
      </w:r>
      <w:r w:rsidR="00AE61F9" w:rsidRPr="00AE61F9">
        <w:rPr>
          <w:rFonts w:ascii="Times New Roman" w:hAnsi="Times New Roman" w:cs="Times New Roman"/>
        </w:rPr>
        <w:t>muestra un mapeo integral de stakeholders.</w:t>
      </w:r>
    </w:p>
    <w:p w14:paraId="6F9A9B72" w14:textId="1DCC0666" w:rsidR="00AE61F9" w:rsidRPr="00AE61F9" w:rsidRDefault="00AE61F9" w:rsidP="00AE61F9">
      <w:pPr>
        <w:rPr>
          <w:rFonts w:ascii="Times New Roman" w:hAnsi="Times New Roman" w:cs="Times New Roman"/>
        </w:rPr>
      </w:pPr>
    </w:p>
    <w:p w14:paraId="194A478C" w14:textId="2769D2C9" w:rsidR="00AE61F9" w:rsidRPr="00AE61F9" w:rsidRDefault="00AE61F9" w:rsidP="00AE61F9">
      <w:pPr>
        <w:rPr>
          <w:rFonts w:ascii="Times New Roman" w:hAnsi="Times New Roman" w:cs="Times New Roman"/>
          <w:b/>
          <w:bCs/>
        </w:rPr>
      </w:pPr>
      <w:r w:rsidRPr="00AE61F9">
        <w:rPr>
          <w:rFonts w:ascii="Times New Roman" w:hAnsi="Times New Roman" w:cs="Times New Roman"/>
          <w:b/>
          <w:bCs/>
        </w:rPr>
        <w:t>Principio 2: Comprender qué cambia</w:t>
      </w:r>
    </w:p>
    <w:p w14:paraId="51A78553" w14:textId="77777777" w:rsidR="00AE61F9" w:rsidRPr="00AE61F9" w:rsidRDefault="00AE61F9" w:rsidP="00AE61F9">
      <w:pPr>
        <w:rPr>
          <w:rFonts w:ascii="Times New Roman" w:hAnsi="Times New Roman" w:cs="Times New Roman"/>
        </w:rPr>
      </w:pPr>
      <w:r w:rsidRPr="00AE61F9">
        <w:rPr>
          <w:rFonts w:ascii="Times New Roman" w:hAnsi="Times New Roman" w:cs="Times New Roman"/>
          <w:i/>
          <w:iCs/>
        </w:rPr>
        <w:t>"Reconocer los cambios más significativos, tanto positivos como negativos, previstos y no previstos."</w:t>
      </w:r>
    </w:p>
    <w:p w14:paraId="22B29539" w14:textId="0871D5AF" w:rsidR="00AE61F9" w:rsidRPr="00AE61F9" w:rsidRDefault="00AE61F9" w:rsidP="00AE61F9">
      <w:pPr>
        <w:rPr>
          <w:rFonts w:ascii="Times New Roman" w:hAnsi="Times New Roman" w:cs="Times New Roman"/>
        </w:rPr>
      </w:pPr>
      <w:r w:rsidRPr="00AE61F9">
        <w:rPr>
          <w:rFonts w:ascii="Times New Roman" w:hAnsi="Times New Roman" w:cs="Times New Roman"/>
        </w:rPr>
        <w:t>El modelo de evaluación contempla una teoría de cambio detallada que incluye resultados intermedios y finales, los cuales han sido verificados con las comunidades. Se identificaron cambios en salud, economía familiar, equidad, confort, redes sociales, y también se registraron aspectos no tan positivos como la frustración con ciertos materiales (drywall) y las limitaciones para hacer ampliaciones, lo que evidencia un esfuerzo por capturar el cambio en toda su dimensión.</w:t>
      </w:r>
    </w:p>
    <w:p w14:paraId="5ED1EAB9" w14:textId="168993D6" w:rsidR="00AE61F9" w:rsidRPr="00AE61F9" w:rsidRDefault="00AE61F9" w:rsidP="00AE61F9">
      <w:pPr>
        <w:rPr>
          <w:rFonts w:ascii="Times New Roman" w:hAnsi="Times New Roman" w:cs="Times New Roman"/>
          <w:b/>
          <w:bCs/>
        </w:rPr>
      </w:pPr>
      <w:r w:rsidRPr="00AE61F9">
        <w:rPr>
          <w:rFonts w:ascii="Times New Roman" w:hAnsi="Times New Roman" w:cs="Times New Roman"/>
          <w:b/>
          <w:bCs/>
        </w:rPr>
        <w:t>Principio 3: Valorar lo que importa</w:t>
      </w:r>
    </w:p>
    <w:p w14:paraId="362692F3" w14:textId="77777777" w:rsidR="00AE61F9" w:rsidRPr="00AE61F9" w:rsidRDefault="00AE61F9" w:rsidP="00AE61F9">
      <w:pPr>
        <w:rPr>
          <w:rFonts w:ascii="Times New Roman" w:hAnsi="Times New Roman" w:cs="Times New Roman"/>
        </w:rPr>
      </w:pPr>
      <w:r w:rsidRPr="00AE61F9">
        <w:rPr>
          <w:rFonts w:ascii="Times New Roman" w:hAnsi="Times New Roman" w:cs="Times New Roman"/>
          <w:i/>
          <w:iCs/>
        </w:rPr>
        <w:t>"Asignar valores a los resultados, teniendo en cuenta lo que las personas consideran importante."</w:t>
      </w:r>
    </w:p>
    <w:p w14:paraId="00E042A8" w14:textId="7CE3ED0E" w:rsidR="00AE61F9" w:rsidRPr="00AE61F9" w:rsidRDefault="00AE61F9" w:rsidP="00AE61F9">
      <w:pPr>
        <w:rPr>
          <w:rFonts w:ascii="Times New Roman" w:hAnsi="Times New Roman" w:cs="Times New Roman"/>
        </w:rPr>
      </w:pPr>
      <w:r w:rsidRPr="00AE61F9">
        <w:rPr>
          <w:rFonts w:ascii="Times New Roman" w:hAnsi="Times New Roman" w:cs="Times New Roman"/>
        </w:rPr>
        <w:t>La propuesta contempla la monetización de impactos sociales y ambientales a través de proxies relevantes para los beneficiarios, como el ahorro en arriendo, la mejora en salud, y la empleabilidad. También se propone el uso de métodos participativos para identificar qué cambios son realmente valorados por las familias, respetando así su perspectiva y prioridades.</w:t>
      </w:r>
    </w:p>
    <w:p w14:paraId="3669DA5C" w14:textId="6D0D996D" w:rsidR="00AE61F9" w:rsidRPr="00AE61F9" w:rsidRDefault="00AE61F9" w:rsidP="00AE61F9">
      <w:pPr>
        <w:rPr>
          <w:rFonts w:ascii="Times New Roman" w:hAnsi="Times New Roman" w:cs="Times New Roman"/>
        </w:rPr>
      </w:pPr>
    </w:p>
    <w:p w14:paraId="15EABF29" w14:textId="10758E45" w:rsidR="00AE61F9" w:rsidRPr="00AE61F9" w:rsidRDefault="00AE61F9" w:rsidP="00AE61F9">
      <w:pPr>
        <w:rPr>
          <w:rFonts w:ascii="Times New Roman" w:hAnsi="Times New Roman" w:cs="Times New Roman"/>
          <w:b/>
          <w:bCs/>
        </w:rPr>
      </w:pPr>
      <w:r w:rsidRPr="00AE61F9">
        <w:rPr>
          <w:rFonts w:ascii="Times New Roman" w:hAnsi="Times New Roman" w:cs="Times New Roman"/>
          <w:b/>
          <w:bCs/>
        </w:rPr>
        <w:t>Principio 4: Incluir solo lo que es material</w:t>
      </w:r>
    </w:p>
    <w:p w14:paraId="69B44EA0" w14:textId="77777777" w:rsidR="00AE61F9" w:rsidRPr="00AE61F9" w:rsidRDefault="00AE61F9" w:rsidP="00AE61F9">
      <w:pPr>
        <w:rPr>
          <w:rFonts w:ascii="Times New Roman" w:hAnsi="Times New Roman" w:cs="Times New Roman"/>
        </w:rPr>
      </w:pPr>
      <w:r w:rsidRPr="00AE61F9">
        <w:rPr>
          <w:rFonts w:ascii="Times New Roman" w:hAnsi="Times New Roman" w:cs="Times New Roman"/>
          <w:i/>
          <w:iCs/>
        </w:rPr>
        <w:t>"Incluir los resultados que son relevantes, significativos y que podrían influir en la toma de decisiones."</w:t>
      </w:r>
    </w:p>
    <w:p w14:paraId="45393BF2" w14:textId="07ABE47C" w:rsidR="00AE61F9" w:rsidRPr="00AE61F9" w:rsidRDefault="007E2DEE" w:rsidP="00AE61F9">
      <w:pPr>
        <w:rPr>
          <w:rFonts w:ascii="Times New Roman" w:hAnsi="Times New Roman" w:cs="Times New Roman"/>
        </w:rPr>
      </w:pPr>
      <w:r>
        <w:rPr>
          <w:rFonts w:ascii="Times New Roman" w:hAnsi="Times New Roman" w:cs="Times New Roman"/>
        </w:rPr>
        <w:t>Se</w:t>
      </w:r>
      <w:r w:rsidR="00AE61F9" w:rsidRPr="00AE61F9">
        <w:rPr>
          <w:rFonts w:ascii="Times New Roman" w:hAnsi="Times New Roman" w:cs="Times New Roman"/>
        </w:rPr>
        <w:t xml:space="preserve"> </w:t>
      </w:r>
      <w:r>
        <w:rPr>
          <w:rFonts w:ascii="Times New Roman" w:hAnsi="Times New Roman" w:cs="Times New Roman"/>
        </w:rPr>
        <w:t>lleva a cabo</w:t>
      </w:r>
      <w:r w:rsidR="00AE61F9" w:rsidRPr="00AE61F9">
        <w:rPr>
          <w:rFonts w:ascii="Times New Roman" w:hAnsi="Times New Roman" w:cs="Times New Roman"/>
        </w:rPr>
        <w:t xml:space="preserve"> un proceso de priorización de resultados basados en su impacto en la calidad de vida, su conexión con los objetivos del programa y su validación con las comunidades. Esto permite asegurar que los resultados incluidos en el análisis SROI sean aquellos verdaderamente materiales, es decir, que si se excluyeran, afectarían la comprensión del valor generado.</w:t>
      </w:r>
    </w:p>
    <w:p w14:paraId="3FBD9B5D" w14:textId="0F6D3EC4" w:rsidR="00AE61F9" w:rsidRPr="00AE61F9" w:rsidRDefault="00AE61F9" w:rsidP="00AE61F9">
      <w:pPr>
        <w:rPr>
          <w:rFonts w:ascii="Times New Roman" w:hAnsi="Times New Roman" w:cs="Times New Roman"/>
        </w:rPr>
      </w:pPr>
    </w:p>
    <w:p w14:paraId="67FE2091" w14:textId="0563EE94" w:rsidR="00AE61F9" w:rsidRPr="00AE61F9" w:rsidRDefault="00AE61F9" w:rsidP="00AE61F9">
      <w:pPr>
        <w:rPr>
          <w:rFonts w:ascii="Times New Roman" w:hAnsi="Times New Roman" w:cs="Times New Roman"/>
          <w:b/>
          <w:bCs/>
        </w:rPr>
      </w:pPr>
      <w:r w:rsidRPr="00AE61F9">
        <w:rPr>
          <w:rFonts w:ascii="Times New Roman" w:hAnsi="Times New Roman" w:cs="Times New Roman"/>
          <w:b/>
          <w:bCs/>
        </w:rPr>
        <w:t>Principio 5: No sobrestimar el valor</w:t>
      </w:r>
    </w:p>
    <w:p w14:paraId="1B343617" w14:textId="77777777" w:rsidR="00AE61F9" w:rsidRPr="00AE61F9" w:rsidRDefault="00AE61F9" w:rsidP="00AE61F9">
      <w:pPr>
        <w:rPr>
          <w:rFonts w:ascii="Times New Roman" w:hAnsi="Times New Roman" w:cs="Times New Roman"/>
        </w:rPr>
      </w:pPr>
      <w:r w:rsidRPr="00AE61F9">
        <w:rPr>
          <w:rFonts w:ascii="Times New Roman" w:hAnsi="Times New Roman" w:cs="Times New Roman"/>
          <w:i/>
          <w:iCs/>
        </w:rPr>
        <w:t>"Ser prudente en las estimaciones y evitar atribuir un valor mayor del que corresponde."</w:t>
      </w:r>
    </w:p>
    <w:p w14:paraId="3D0BDAE9" w14:textId="2CF11C65" w:rsidR="00AE61F9" w:rsidRPr="00AE61F9" w:rsidRDefault="00AE61F9" w:rsidP="00AE61F9">
      <w:pPr>
        <w:rPr>
          <w:rFonts w:ascii="Times New Roman" w:hAnsi="Times New Roman" w:cs="Times New Roman"/>
        </w:rPr>
      </w:pPr>
      <w:r w:rsidRPr="00AE61F9">
        <w:rPr>
          <w:rFonts w:ascii="Times New Roman" w:hAnsi="Times New Roman" w:cs="Times New Roman"/>
        </w:rPr>
        <w:t>Se proponen proxies conservadores basados en fuentes confiables (subsidios, salarios, tarifas de servicios) y se plantea la comparación con líneas base previas al proyecto. Además, el uso de líneas de referencia (como el sistema constructivo convencional) en el análisis ambiental y social permite establecer un valor diferencial realista, sin inflar los beneficios atribuibles al proyecto.</w:t>
      </w:r>
    </w:p>
    <w:p w14:paraId="0AD9EC39" w14:textId="274B50F3" w:rsidR="00AE61F9" w:rsidRPr="00AE61F9" w:rsidRDefault="00AE61F9" w:rsidP="00AE61F9">
      <w:pPr>
        <w:rPr>
          <w:rFonts w:ascii="Times New Roman" w:hAnsi="Times New Roman" w:cs="Times New Roman"/>
        </w:rPr>
      </w:pPr>
    </w:p>
    <w:p w14:paraId="6547F66F" w14:textId="38289923" w:rsidR="00AE61F9" w:rsidRPr="00AE61F9" w:rsidRDefault="00AE61F9" w:rsidP="00AE61F9">
      <w:pPr>
        <w:rPr>
          <w:rFonts w:ascii="Times New Roman" w:hAnsi="Times New Roman" w:cs="Times New Roman"/>
          <w:b/>
          <w:bCs/>
        </w:rPr>
      </w:pPr>
      <w:r w:rsidRPr="00AE61F9">
        <w:rPr>
          <w:rFonts w:ascii="Times New Roman" w:hAnsi="Times New Roman" w:cs="Times New Roman"/>
          <w:b/>
          <w:bCs/>
        </w:rPr>
        <w:t>Principio 6: Ser transparente</w:t>
      </w:r>
    </w:p>
    <w:p w14:paraId="14C5F537" w14:textId="77777777" w:rsidR="00AE61F9" w:rsidRPr="00AE61F9" w:rsidRDefault="00AE61F9" w:rsidP="00AE61F9">
      <w:pPr>
        <w:rPr>
          <w:rFonts w:ascii="Times New Roman" w:hAnsi="Times New Roman" w:cs="Times New Roman"/>
        </w:rPr>
      </w:pPr>
      <w:r w:rsidRPr="00AE61F9">
        <w:rPr>
          <w:rFonts w:ascii="Times New Roman" w:hAnsi="Times New Roman" w:cs="Times New Roman"/>
          <w:i/>
          <w:iCs/>
        </w:rPr>
        <w:t>"Explicar claramente las decisiones, supuestos y fuentes de datos utilizados."</w:t>
      </w:r>
    </w:p>
    <w:p w14:paraId="095D003F" w14:textId="48CEB0AD" w:rsidR="00AE61F9" w:rsidRPr="00AE61F9" w:rsidRDefault="00AE61F9" w:rsidP="00AE61F9">
      <w:pPr>
        <w:rPr>
          <w:rFonts w:ascii="Times New Roman" w:hAnsi="Times New Roman" w:cs="Times New Roman"/>
        </w:rPr>
      </w:pPr>
      <w:r w:rsidRPr="00AE61F9">
        <w:rPr>
          <w:rFonts w:ascii="Times New Roman" w:hAnsi="Times New Roman" w:cs="Times New Roman"/>
        </w:rPr>
        <w:t>El documento expone de forma clara la metodología, las fuentes de datos (incluyendo talleres, entrevistas, estadísticas nacionales, literatura académica), así como los criterios de selección de proxies. También se especifican los límites del análisis, las hipótesis del modelo y las herramientas utilizadas (ACV, teoría del cambio), cumpliendo así con el principio de trazabilidad y transparencia.</w:t>
      </w:r>
    </w:p>
    <w:p w14:paraId="3FB6679F" w14:textId="55CCACC5" w:rsidR="00AE61F9" w:rsidRPr="00AE61F9" w:rsidRDefault="00AE61F9" w:rsidP="00AE61F9">
      <w:pPr>
        <w:rPr>
          <w:rFonts w:ascii="Times New Roman" w:hAnsi="Times New Roman" w:cs="Times New Roman"/>
          <w:b/>
          <w:bCs/>
        </w:rPr>
      </w:pPr>
      <w:r w:rsidRPr="00AE61F9">
        <w:rPr>
          <w:rFonts w:ascii="Times New Roman" w:hAnsi="Times New Roman" w:cs="Times New Roman"/>
          <w:b/>
          <w:bCs/>
        </w:rPr>
        <w:t>Principio 7: Verificar los resultados</w:t>
      </w:r>
    </w:p>
    <w:p w14:paraId="53B20532" w14:textId="77777777" w:rsidR="00AE61F9" w:rsidRPr="00AE61F9" w:rsidRDefault="00AE61F9" w:rsidP="00AE61F9">
      <w:pPr>
        <w:rPr>
          <w:rFonts w:ascii="Times New Roman" w:hAnsi="Times New Roman" w:cs="Times New Roman"/>
        </w:rPr>
      </w:pPr>
      <w:r w:rsidRPr="00AE61F9">
        <w:rPr>
          <w:rFonts w:ascii="Times New Roman" w:hAnsi="Times New Roman" w:cs="Times New Roman"/>
          <w:i/>
          <w:iCs/>
        </w:rPr>
        <w:t>"Asegurar la precisión de los resultados a través de validación con terceros o partes interesadas."</w:t>
      </w:r>
    </w:p>
    <w:p w14:paraId="6F7E1F1C" w14:textId="0B58D804" w:rsidR="00AE61F9" w:rsidRPr="00AE61F9" w:rsidRDefault="00AE61F9" w:rsidP="00AE61F9">
      <w:pPr>
        <w:rPr>
          <w:rFonts w:ascii="Times New Roman" w:hAnsi="Times New Roman" w:cs="Times New Roman"/>
        </w:rPr>
      </w:pPr>
      <w:r w:rsidRPr="00AE61F9">
        <w:rPr>
          <w:rFonts w:ascii="Times New Roman" w:hAnsi="Times New Roman" w:cs="Times New Roman"/>
        </w:rPr>
        <w:t xml:space="preserve">Se documenta un proceso de validación directa con los beneficiarios a través de talleres comunitarios y actividades participativas, y se plantea una triangulación metodológica (SROI + ACV). Además, el involucramiento de la Universidad EAFIT y el acompañamiento del equipo técnico de Casa </w:t>
      </w:r>
      <w:r w:rsidR="00AF512D">
        <w:rPr>
          <w:rFonts w:ascii="Times New Roman" w:hAnsi="Times New Roman" w:cs="Times New Roman"/>
        </w:rPr>
        <w:t>P</w:t>
      </w:r>
      <w:r w:rsidRPr="00AE61F9">
        <w:rPr>
          <w:rFonts w:ascii="Times New Roman" w:hAnsi="Times New Roman" w:cs="Times New Roman"/>
        </w:rPr>
        <w:t>ara Mí proporcionan una verificación técnica y académica que respalda la rigurosidad de los resultados.</w:t>
      </w:r>
    </w:p>
    <w:p w14:paraId="547C6E1B" w14:textId="4A445AF0" w:rsidR="00AE61F9" w:rsidRPr="00AE61F9" w:rsidRDefault="00AE61F9" w:rsidP="00AE61F9">
      <w:pPr>
        <w:rPr>
          <w:rFonts w:ascii="Times New Roman" w:hAnsi="Times New Roman" w:cs="Times New Roman"/>
        </w:rPr>
      </w:pPr>
    </w:p>
    <w:p w14:paraId="4498E23E" w14:textId="105855CF" w:rsidR="00AE61F9" w:rsidRPr="00AE61F9" w:rsidRDefault="00AE61F9" w:rsidP="00AE61F9">
      <w:pPr>
        <w:rPr>
          <w:rFonts w:ascii="Times New Roman" w:hAnsi="Times New Roman" w:cs="Times New Roman"/>
          <w:b/>
          <w:bCs/>
        </w:rPr>
      </w:pPr>
      <w:r w:rsidRPr="00AE61F9">
        <w:rPr>
          <w:rFonts w:ascii="Times New Roman" w:hAnsi="Times New Roman" w:cs="Times New Roman"/>
          <w:b/>
          <w:bCs/>
        </w:rPr>
        <w:t>Principio 8: Ser capaz de ser utilizado para mejorar</w:t>
      </w:r>
    </w:p>
    <w:p w14:paraId="382C3599" w14:textId="77777777" w:rsidR="00AE61F9" w:rsidRPr="00AE61F9" w:rsidRDefault="00AE61F9" w:rsidP="00AE61F9">
      <w:pPr>
        <w:rPr>
          <w:rFonts w:ascii="Times New Roman" w:hAnsi="Times New Roman" w:cs="Times New Roman"/>
        </w:rPr>
      </w:pPr>
      <w:r w:rsidRPr="00AE61F9">
        <w:rPr>
          <w:rFonts w:ascii="Times New Roman" w:hAnsi="Times New Roman" w:cs="Times New Roman"/>
          <w:i/>
          <w:iCs/>
        </w:rPr>
        <w:t>"Asegurar que el análisis sea útil para tomar decisiones y generar mejoras."</w:t>
      </w:r>
    </w:p>
    <w:p w14:paraId="1310F697" w14:textId="4BBEB589" w:rsidR="00AE61F9" w:rsidRPr="00AE61F9" w:rsidRDefault="00AE61F9" w:rsidP="00AE61F9">
      <w:pPr>
        <w:rPr>
          <w:rFonts w:ascii="Times New Roman" w:hAnsi="Times New Roman" w:cs="Times New Roman"/>
        </w:rPr>
      </w:pPr>
      <w:r w:rsidRPr="00AE61F9">
        <w:rPr>
          <w:rFonts w:ascii="Times New Roman" w:hAnsi="Times New Roman" w:cs="Times New Roman"/>
        </w:rPr>
        <w:t xml:space="preserve">Uno de los objetivos explícitos del trabajo es que el análisis del impacto sirva para optimizar, replicar y escalar el modelo </w:t>
      </w:r>
      <w:r w:rsidRPr="00AE61F9">
        <w:rPr>
          <w:rFonts w:ascii="Times New Roman" w:hAnsi="Times New Roman" w:cs="Times New Roman"/>
          <w:i/>
          <w:iCs/>
        </w:rPr>
        <w:t>Casa para Mí</w:t>
      </w:r>
      <w:r w:rsidRPr="00AE61F9">
        <w:rPr>
          <w:rFonts w:ascii="Times New Roman" w:hAnsi="Times New Roman" w:cs="Times New Roman"/>
        </w:rPr>
        <w:t>. Al demostrar qué cambios se generan y qué valor producen, el estudio proporciona insumos clave para la toma de decisiones estratégicas tanto en la empresa como en políticas públicas de vivienda, convirtiéndose en una herramienta de gestión y mejora continua.</w:t>
      </w:r>
    </w:p>
    <w:p w14:paraId="055AB3C7" w14:textId="77777777" w:rsidR="00AE61F9" w:rsidRDefault="00AE61F9"/>
    <w:sectPr w:rsidR="00AE61F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BE1"/>
    <w:multiLevelType w:val="multilevel"/>
    <w:tmpl w:val="D09448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0723EE"/>
    <w:multiLevelType w:val="multilevel"/>
    <w:tmpl w:val="BF0012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359DA"/>
    <w:multiLevelType w:val="multilevel"/>
    <w:tmpl w:val="B1C8B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F358B9"/>
    <w:multiLevelType w:val="multilevel"/>
    <w:tmpl w:val="A2623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991ABD"/>
    <w:multiLevelType w:val="multilevel"/>
    <w:tmpl w:val="A71C86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345E03"/>
    <w:multiLevelType w:val="multilevel"/>
    <w:tmpl w:val="4740C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D00A40"/>
    <w:multiLevelType w:val="multilevel"/>
    <w:tmpl w:val="CD98F5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512594"/>
    <w:multiLevelType w:val="multilevel"/>
    <w:tmpl w:val="E6DE5D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5758682">
    <w:abstractNumId w:val="6"/>
  </w:num>
  <w:num w:numId="2" w16cid:durableId="1948848876">
    <w:abstractNumId w:val="0"/>
  </w:num>
  <w:num w:numId="3" w16cid:durableId="377245482">
    <w:abstractNumId w:val="0"/>
    <w:lvlOverride w:ilvl="1">
      <w:lvl w:ilvl="1">
        <w:numFmt w:val="bullet"/>
        <w:lvlText w:val="o"/>
        <w:lvlJc w:val="left"/>
        <w:pPr>
          <w:tabs>
            <w:tab w:val="num" w:pos="1440"/>
          </w:tabs>
          <w:ind w:left="1440" w:hanging="360"/>
        </w:pPr>
        <w:rPr>
          <w:rFonts w:ascii="Courier New" w:hAnsi="Courier New" w:hint="default"/>
          <w:sz w:val="20"/>
        </w:rPr>
      </w:lvl>
    </w:lvlOverride>
  </w:num>
  <w:num w:numId="4" w16cid:durableId="390276246">
    <w:abstractNumId w:val="2"/>
  </w:num>
  <w:num w:numId="5" w16cid:durableId="1656179012">
    <w:abstractNumId w:val="7"/>
  </w:num>
  <w:num w:numId="6" w16cid:durableId="1806893387">
    <w:abstractNumId w:val="3"/>
  </w:num>
  <w:num w:numId="7" w16cid:durableId="2114082930">
    <w:abstractNumId w:val="4"/>
  </w:num>
  <w:num w:numId="8" w16cid:durableId="1368989808">
    <w:abstractNumId w:val="5"/>
  </w:num>
  <w:num w:numId="9" w16cid:durableId="6516407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3F7"/>
    <w:rsid w:val="00094845"/>
    <w:rsid w:val="000C00EC"/>
    <w:rsid w:val="000D21AC"/>
    <w:rsid w:val="000D2ED2"/>
    <w:rsid w:val="000D6DA3"/>
    <w:rsid w:val="00132448"/>
    <w:rsid w:val="00153465"/>
    <w:rsid w:val="001B0E17"/>
    <w:rsid w:val="001B5324"/>
    <w:rsid w:val="00230B7D"/>
    <w:rsid w:val="00233A8A"/>
    <w:rsid w:val="002577F4"/>
    <w:rsid w:val="00292F0F"/>
    <w:rsid w:val="002B3337"/>
    <w:rsid w:val="002F39E1"/>
    <w:rsid w:val="00307AE1"/>
    <w:rsid w:val="00312976"/>
    <w:rsid w:val="00332929"/>
    <w:rsid w:val="003A0A33"/>
    <w:rsid w:val="003A4FA0"/>
    <w:rsid w:val="003C4D29"/>
    <w:rsid w:val="003D05DD"/>
    <w:rsid w:val="003D59FF"/>
    <w:rsid w:val="003E5F16"/>
    <w:rsid w:val="00401B84"/>
    <w:rsid w:val="004518D3"/>
    <w:rsid w:val="00453519"/>
    <w:rsid w:val="00456195"/>
    <w:rsid w:val="00486FE1"/>
    <w:rsid w:val="004B14ED"/>
    <w:rsid w:val="004E27BB"/>
    <w:rsid w:val="005127E5"/>
    <w:rsid w:val="00512BAD"/>
    <w:rsid w:val="0056036A"/>
    <w:rsid w:val="00590AE6"/>
    <w:rsid w:val="005A5E6C"/>
    <w:rsid w:val="005C6A43"/>
    <w:rsid w:val="005E1B0F"/>
    <w:rsid w:val="00664AE4"/>
    <w:rsid w:val="006C5524"/>
    <w:rsid w:val="006D4A29"/>
    <w:rsid w:val="006F06AA"/>
    <w:rsid w:val="00703F3E"/>
    <w:rsid w:val="00705170"/>
    <w:rsid w:val="00756A63"/>
    <w:rsid w:val="00757880"/>
    <w:rsid w:val="00791B35"/>
    <w:rsid w:val="007C13F7"/>
    <w:rsid w:val="007E1AA1"/>
    <w:rsid w:val="007E2DEE"/>
    <w:rsid w:val="0080303F"/>
    <w:rsid w:val="008D1B2E"/>
    <w:rsid w:val="008D4AEE"/>
    <w:rsid w:val="009007A0"/>
    <w:rsid w:val="00954C74"/>
    <w:rsid w:val="00965250"/>
    <w:rsid w:val="00A442A5"/>
    <w:rsid w:val="00AB4FDE"/>
    <w:rsid w:val="00AE61F9"/>
    <w:rsid w:val="00AF512D"/>
    <w:rsid w:val="00B16E93"/>
    <w:rsid w:val="00B25B84"/>
    <w:rsid w:val="00B500CD"/>
    <w:rsid w:val="00B9648A"/>
    <w:rsid w:val="00BA2307"/>
    <w:rsid w:val="00BE0EFA"/>
    <w:rsid w:val="00BE2925"/>
    <w:rsid w:val="00BF2A75"/>
    <w:rsid w:val="00BF6ED6"/>
    <w:rsid w:val="00C224B1"/>
    <w:rsid w:val="00CA3580"/>
    <w:rsid w:val="00CC6435"/>
    <w:rsid w:val="00CE7C72"/>
    <w:rsid w:val="00D12BBB"/>
    <w:rsid w:val="00D346DD"/>
    <w:rsid w:val="00DB1D23"/>
    <w:rsid w:val="00DE24EF"/>
    <w:rsid w:val="00E018EE"/>
    <w:rsid w:val="00E15052"/>
    <w:rsid w:val="00E222F6"/>
    <w:rsid w:val="00E81B0B"/>
    <w:rsid w:val="00EB016F"/>
    <w:rsid w:val="00EB0A00"/>
    <w:rsid w:val="00EC3F89"/>
    <w:rsid w:val="00ED5BA1"/>
    <w:rsid w:val="00EE6329"/>
    <w:rsid w:val="00F34164"/>
    <w:rsid w:val="00F71ED0"/>
    <w:rsid w:val="00F95D73"/>
    <w:rsid w:val="00FD0E1D"/>
    <w:rsid w:val="12CA1DAB"/>
    <w:rsid w:val="67D8A8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A4733"/>
  <w15:chartTrackingRefBased/>
  <w15:docId w15:val="{D846D149-B3F9-4825-9165-CB563C91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C13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C13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C13F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C13F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C13F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C13F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C13F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C13F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C13F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C13F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C13F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C13F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C13F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C13F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C13F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C13F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C13F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C13F7"/>
    <w:rPr>
      <w:rFonts w:eastAsiaTheme="majorEastAsia" w:cstheme="majorBidi"/>
      <w:color w:val="272727" w:themeColor="text1" w:themeTint="D8"/>
    </w:rPr>
  </w:style>
  <w:style w:type="paragraph" w:styleId="Ttulo">
    <w:name w:val="Title"/>
    <w:basedOn w:val="Normal"/>
    <w:next w:val="Normal"/>
    <w:link w:val="TtuloCar"/>
    <w:uiPriority w:val="10"/>
    <w:qFormat/>
    <w:rsid w:val="007C13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C13F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C13F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C13F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C13F7"/>
    <w:pPr>
      <w:spacing w:before="160"/>
      <w:jc w:val="center"/>
    </w:pPr>
    <w:rPr>
      <w:i/>
      <w:iCs/>
      <w:color w:val="404040" w:themeColor="text1" w:themeTint="BF"/>
    </w:rPr>
  </w:style>
  <w:style w:type="character" w:customStyle="1" w:styleId="CitaCar">
    <w:name w:val="Cita Car"/>
    <w:basedOn w:val="Fuentedeprrafopredeter"/>
    <w:link w:val="Cita"/>
    <w:uiPriority w:val="29"/>
    <w:rsid w:val="007C13F7"/>
    <w:rPr>
      <w:i/>
      <w:iCs/>
      <w:color w:val="404040" w:themeColor="text1" w:themeTint="BF"/>
    </w:rPr>
  </w:style>
  <w:style w:type="paragraph" w:styleId="Prrafodelista">
    <w:name w:val="List Paragraph"/>
    <w:basedOn w:val="Normal"/>
    <w:uiPriority w:val="34"/>
    <w:qFormat/>
    <w:rsid w:val="007C13F7"/>
    <w:pPr>
      <w:ind w:left="720"/>
      <w:contextualSpacing/>
    </w:pPr>
  </w:style>
  <w:style w:type="character" w:styleId="nfasisintenso">
    <w:name w:val="Intense Emphasis"/>
    <w:basedOn w:val="Fuentedeprrafopredeter"/>
    <w:uiPriority w:val="21"/>
    <w:qFormat/>
    <w:rsid w:val="007C13F7"/>
    <w:rPr>
      <w:i/>
      <w:iCs/>
      <w:color w:val="0F4761" w:themeColor="accent1" w:themeShade="BF"/>
    </w:rPr>
  </w:style>
  <w:style w:type="paragraph" w:styleId="Citadestacada">
    <w:name w:val="Intense Quote"/>
    <w:basedOn w:val="Normal"/>
    <w:next w:val="Normal"/>
    <w:link w:val="CitadestacadaCar"/>
    <w:uiPriority w:val="30"/>
    <w:qFormat/>
    <w:rsid w:val="007C13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C13F7"/>
    <w:rPr>
      <w:i/>
      <w:iCs/>
      <w:color w:val="0F4761" w:themeColor="accent1" w:themeShade="BF"/>
    </w:rPr>
  </w:style>
  <w:style w:type="character" w:styleId="Referenciaintensa">
    <w:name w:val="Intense Reference"/>
    <w:basedOn w:val="Fuentedeprrafopredeter"/>
    <w:uiPriority w:val="32"/>
    <w:qFormat/>
    <w:rsid w:val="007C13F7"/>
    <w:rPr>
      <w:b/>
      <w:bCs/>
      <w:smallCaps/>
      <w:color w:val="0F4761" w:themeColor="accent1" w:themeShade="BF"/>
      <w:spacing w:val="5"/>
    </w:rPr>
  </w:style>
  <w:style w:type="table" w:styleId="Tablaconcuadrcula">
    <w:name w:val="Table Grid"/>
    <w:basedOn w:val="Tablanormal"/>
    <w:uiPriority w:val="39"/>
    <w:rsid w:val="007C1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132448"/>
    <w:rPr>
      <w:sz w:val="16"/>
      <w:szCs w:val="16"/>
    </w:rPr>
  </w:style>
  <w:style w:type="paragraph" w:styleId="Textocomentario">
    <w:name w:val="annotation text"/>
    <w:basedOn w:val="Normal"/>
    <w:link w:val="TextocomentarioCar"/>
    <w:uiPriority w:val="99"/>
    <w:unhideWhenUsed/>
    <w:rsid w:val="00132448"/>
    <w:pPr>
      <w:spacing w:line="240" w:lineRule="auto"/>
    </w:pPr>
    <w:rPr>
      <w:sz w:val="20"/>
      <w:szCs w:val="20"/>
    </w:rPr>
  </w:style>
  <w:style w:type="character" w:customStyle="1" w:styleId="TextocomentarioCar">
    <w:name w:val="Texto comentario Car"/>
    <w:basedOn w:val="Fuentedeprrafopredeter"/>
    <w:link w:val="Textocomentario"/>
    <w:uiPriority w:val="99"/>
    <w:rsid w:val="00132448"/>
    <w:rPr>
      <w:sz w:val="20"/>
      <w:szCs w:val="20"/>
    </w:rPr>
  </w:style>
  <w:style w:type="paragraph" w:styleId="Asuntodelcomentario">
    <w:name w:val="annotation subject"/>
    <w:basedOn w:val="Textocomentario"/>
    <w:next w:val="Textocomentario"/>
    <w:link w:val="AsuntodelcomentarioCar"/>
    <w:uiPriority w:val="99"/>
    <w:semiHidden/>
    <w:unhideWhenUsed/>
    <w:rsid w:val="00132448"/>
    <w:rPr>
      <w:b/>
      <w:bCs/>
    </w:rPr>
  </w:style>
  <w:style w:type="character" w:customStyle="1" w:styleId="AsuntodelcomentarioCar">
    <w:name w:val="Asunto del comentario Car"/>
    <w:basedOn w:val="TextocomentarioCar"/>
    <w:link w:val="Asuntodelcomentario"/>
    <w:uiPriority w:val="99"/>
    <w:semiHidden/>
    <w:rsid w:val="001324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911835">
      <w:bodyDiv w:val="1"/>
      <w:marLeft w:val="0"/>
      <w:marRight w:val="0"/>
      <w:marTop w:val="0"/>
      <w:marBottom w:val="0"/>
      <w:divBdr>
        <w:top w:val="none" w:sz="0" w:space="0" w:color="auto"/>
        <w:left w:val="none" w:sz="0" w:space="0" w:color="auto"/>
        <w:bottom w:val="none" w:sz="0" w:space="0" w:color="auto"/>
        <w:right w:val="none" w:sz="0" w:space="0" w:color="auto"/>
      </w:divBdr>
      <w:divsChild>
        <w:div w:id="112529193">
          <w:blockQuote w:val="1"/>
          <w:marLeft w:val="720"/>
          <w:marRight w:val="720"/>
          <w:marTop w:val="100"/>
          <w:marBottom w:val="100"/>
          <w:divBdr>
            <w:top w:val="none" w:sz="0" w:space="0" w:color="auto"/>
            <w:left w:val="none" w:sz="0" w:space="0" w:color="auto"/>
            <w:bottom w:val="none" w:sz="0" w:space="0" w:color="auto"/>
            <w:right w:val="none" w:sz="0" w:space="0" w:color="auto"/>
          </w:divBdr>
        </w:div>
        <w:div w:id="754404850">
          <w:blockQuote w:val="1"/>
          <w:marLeft w:val="720"/>
          <w:marRight w:val="720"/>
          <w:marTop w:val="100"/>
          <w:marBottom w:val="100"/>
          <w:divBdr>
            <w:top w:val="none" w:sz="0" w:space="0" w:color="auto"/>
            <w:left w:val="none" w:sz="0" w:space="0" w:color="auto"/>
            <w:bottom w:val="none" w:sz="0" w:space="0" w:color="auto"/>
            <w:right w:val="none" w:sz="0" w:space="0" w:color="auto"/>
          </w:divBdr>
        </w:div>
        <w:div w:id="1755515598">
          <w:blockQuote w:val="1"/>
          <w:marLeft w:val="720"/>
          <w:marRight w:val="720"/>
          <w:marTop w:val="100"/>
          <w:marBottom w:val="100"/>
          <w:divBdr>
            <w:top w:val="none" w:sz="0" w:space="0" w:color="auto"/>
            <w:left w:val="none" w:sz="0" w:space="0" w:color="auto"/>
            <w:bottom w:val="none" w:sz="0" w:space="0" w:color="auto"/>
            <w:right w:val="none" w:sz="0" w:space="0" w:color="auto"/>
          </w:divBdr>
        </w:div>
        <w:div w:id="343094522">
          <w:blockQuote w:val="1"/>
          <w:marLeft w:val="720"/>
          <w:marRight w:val="720"/>
          <w:marTop w:val="100"/>
          <w:marBottom w:val="100"/>
          <w:divBdr>
            <w:top w:val="none" w:sz="0" w:space="0" w:color="auto"/>
            <w:left w:val="none" w:sz="0" w:space="0" w:color="auto"/>
            <w:bottom w:val="none" w:sz="0" w:space="0" w:color="auto"/>
            <w:right w:val="none" w:sz="0" w:space="0" w:color="auto"/>
          </w:divBdr>
        </w:div>
        <w:div w:id="1885170848">
          <w:blockQuote w:val="1"/>
          <w:marLeft w:val="720"/>
          <w:marRight w:val="720"/>
          <w:marTop w:val="100"/>
          <w:marBottom w:val="100"/>
          <w:divBdr>
            <w:top w:val="none" w:sz="0" w:space="0" w:color="auto"/>
            <w:left w:val="none" w:sz="0" w:space="0" w:color="auto"/>
            <w:bottom w:val="none" w:sz="0" w:space="0" w:color="auto"/>
            <w:right w:val="none" w:sz="0" w:space="0" w:color="auto"/>
          </w:divBdr>
        </w:div>
        <w:div w:id="1298297728">
          <w:blockQuote w:val="1"/>
          <w:marLeft w:val="720"/>
          <w:marRight w:val="720"/>
          <w:marTop w:val="100"/>
          <w:marBottom w:val="100"/>
          <w:divBdr>
            <w:top w:val="none" w:sz="0" w:space="0" w:color="auto"/>
            <w:left w:val="none" w:sz="0" w:space="0" w:color="auto"/>
            <w:bottom w:val="none" w:sz="0" w:space="0" w:color="auto"/>
            <w:right w:val="none" w:sz="0" w:space="0" w:color="auto"/>
          </w:divBdr>
        </w:div>
        <w:div w:id="858012295">
          <w:blockQuote w:val="1"/>
          <w:marLeft w:val="720"/>
          <w:marRight w:val="720"/>
          <w:marTop w:val="100"/>
          <w:marBottom w:val="100"/>
          <w:divBdr>
            <w:top w:val="none" w:sz="0" w:space="0" w:color="auto"/>
            <w:left w:val="none" w:sz="0" w:space="0" w:color="auto"/>
            <w:bottom w:val="none" w:sz="0" w:space="0" w:color="auto"/>
            <w:right w:val="none" w:sz="0" w:space="0" w:color="auto"/>
          </w:divBdr>
        </w:div>
        <w:div w:id="1899197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7932116">
      <w:bodyDiv w:val="1"/>
      <w:marLeft w:val="0"/>
      <w:marRight w:val="0"/>
      <w:marTop w:val="0"/>
      <w:marBottom w:val="0"/>
      <w:divBdr>
        <w:top w:val="none" w:sz="0" w:space="0" w:color="auto"/>
        <w:left w:val="none" w:sz="0" w:space="0" w:color="auto"/>
        <w:bottom w:val="none" w:sz="0" w:space="0" w:color="auto"/>
        <w:right w:val="none" w:sz="0" w:space="0" w:color="auto"/>
      </w:divBdr>
    </w:div>
    <w:div w:id="694694947">
      <w:bodyDiv w:val="1"/>
      <w:marLeft w:val="0"/>
      <w:marRight w:val="0"/>
      <w:marTop w:val="0"/>
      <w:marBottom w:val="0"/>
      <w:divBdr>
        <w:top w:val="none" w:sz="0" w:space="0" w:color="auto"/>
        <w:left w:val="none" w:sz="0" w:space="0" w:color="auto"/>
        <w:bottom w:val="none" w:sz="0" w:space="0" w:color="auto"/>
        <w:right w:val="none" w:sz="0" w:space="0" w:color="auto"/>
      </w:divBdr>
      <w:divsChild>
        <w:div w:id="1088426460">
          <w:marLeft w:val="0"/>
          <w:marRight w:val="0"/>
          <w:marTop w:val="0"/>
          <w:marBottom w:val="0"/>
          <w:divBdr>
            <w:top w:val="none" w:sz="0" w:space="0" w:color="auto"/>
            <w:left w:val="none" w:sz="0" w:space="0" w:color="auto"/>
            <w:bottom w:val="none" w:sz="0" w:space="0" w:color="auto"/>
            <w:right w:val="none" w:sz="0" w:space="0" w:color="auto"/>
          </w:divBdr>
          <w:divsChild>
            <w:div w:id="163186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814948">
      <w:bodyDiv w:val="1"/>
      <w:marLeft w:val="0"/>
      <w:marRight w:val="0"/>
      <w:marTop w:val="0"/>
      <w:marBottom w:val="0"/>
      <w:divBdr>
        <w:top w:val="none" w:sz="0" w:space="0" w:color="auto"/>
        <w:left w:val="none" w:sz="0" w:space="0" w:color="auto"/>
        <w:bottom w:val="none" w:sz="0" w:space="0" w:color="auto"/>
        <w:right w:val="none" w:sz="0" w:space="0" w:color="auto"/>
      </w:divBdr>
    </w:div>
    <w:div w:id="967903397">
      <w:bodyDiv w:val="1"/>
      <w:marLeft w:val="0"/>
      <w:marRight w:val="0"/>
      <w:marTop w:val="0"/>
      <w:marBottom w:val="0"/>
      <w:divBdr>
        <w:top w:val="none" w:sz="0" w:space="0" w:color="auto"/>
        <w:left w:val="none" w:sz="0" w:space="0" w:color="auto"/>
        <w:bottom w:val="none" w:sz="0" w:space="0" w:color="auto"/>
        <w:right w:val="none" w:sz="0" w:space="0" w:color="auto"/>
      </w:divBdr>
    </w:div>
    <w:div w:id="996542468">
      <w:bodyDiv w:val="1"/>
      <w:marLeft w:val="0"/>
      <w:marRight w:val="0"/>
      <w:marTop w:val="0"/>
      <w:marBottom w:val="0"/>
      <w:divBdr>
        <w:top w:val="none" w:sz="0" w:space="0" w:color="auto"/>
        <w:left w:val="none" w:sz="0" w:space="0" w:color="auto"/>
        <w:bottom w:val="none" w:sz="0" w:space="0" w:color="auto"/>
        <w:right w:val="none" w:sz="0" w:space="0" w:color="auto"/>
      </w:divBdr>
      <w:divsChild>
        <w:div w:id="1641033663">
          <w:marLeft w:val="0"/>
          <w:marRight w:val="0"/>
          <w:marTop w:val="0"/>
          <w:marBottom w:val="0"/>
          <w:divBdr>
            <w:top w:val="none" w:sz="0" w:space="0" w:color="auto"/>
            <w:left w:val="none" w:sz="0" w:space="0" w:color="auto"/>
            <w:bottom w:val="none" w:sz="0" w:space="0" w:color="auto"/>
            <w:right w:val="none" w:sz="0" w:space="0" w:color="auto"/>
          </w:divBdr>
          <w:divsChild>
            <w:div w:id="104386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445010">
      <w:bodyDiv w:val="1"/>
      <w:marLeft w:val="0"/>
      <w:marRight w:val="0"/>
      <w:marTop w:val="0"/>
      <w:marBottom w:val="0"/>
      <w:divBdr>
        <w:top w:val="none" w:sz="0" w:space="0" w:color="auto"/>
        <w:left w:val="none" w:sz="0" w:space="0" w:color="auto"/>
        <w:bottom w:val="none" w:sz="0" w:space="0" w:color="auto"/>
        <w:right w:val="none" w:sz="0" w:space="0" w:color="auto"/>
      </w:divBdr>
      <w:divsChild>
        <w:div w:id="200870655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627591">
          <w:blockQuote w:val="1"/>
          <w:marLeft w:val="720"/>
          <w:marRight w:val="720"/>
          <w:marTop w:val="100"/>
          <w:marBottom w:val="100"/>
          <w:divBdr>
            <w:top w:val="none" w:sz="0" w:space="0" w:color="auto"/>
            <w:left w:val="none" w:sz="0" w:space="0" w:color="auto"/>
            <w:bottom w:val="none" w:sz="0" w:space="0" w:color="auto"/>
            <w:right w:val="none" w:sz="0" w:space="0" w:color="auto"/>
          </w:divBdr>
        </w:div>
        <w:div w:id="138421645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780599">
          <w:blockQuote w:val="1"/>
          <w:marLeft w:val="720"/>
          <w:marRight w:val="720"/>
          <w:marTop w:val="100"/>
          <w:marBottom w:val="100"/>
          <w:divBdr>
            <w:top w:val="none" w:sz="0" w:space="0" w:color="auto"/>
            <w:left w:val="none" w:sz="0" w:space="0" w:color="auto"/>
            <w:bottom w:val="none" w:sz="0" w:space="0" w:color="auto"/>
            <w:right w:val="none" w:sz="0" w:space="0" w:color="auto"/>
          </w:divBdr>
        </w:div>
        <w:div w:id="1624117388">
          <w:blockQuote w:val="1"/>
          <w:marLeft w:val="720"/>
          <w:marRight w:val="720"/>
          <w:marTop w:val="100"/>
          <w:marBottom w:val="100"/>
          <w:divBdr>
            <w:top w:val="none" w:sz="0" w:space="0" w:color="auto"/>
            <w:left w:val="none" w:sz="0" w:space="0" w:color="auto"/>
            <w:bottom w:val="none" w:sz="0" w:space="0" w:color="auto"/>
            <w:right w:val="none" w:sz="0" w:space="0" w:color="auto"/>
          </w:divBdr>
        </w:div>
        <w:div w:id="1582527343">
          <w:blockQuote w:val="1"/>
          <w:marLeft w:val="720"/>
          <w:marRight w:val="720"/>
          <w:marTop w:val="100"/>
          <w:marBottom w:val="100"/>
          <w:divBdr>
            <w:top w:val="none" w:sz="0" w:space="0" w:color="auto"/>
            <w:left w:val="none" w:sz="0" w:space="0" w:color="auto"/>
            <w:bottom w:val="none" w:sz="0" w:space="0" w:color="auto"/>
            <w:right w:val="none" w:sz="0" w:space="0" w:color="auto"/>
          </w:divBdr>
        </w:div>
        <w:div w:id="244607357">
          <w:blockQuote w:val="1"/>
          <w:marLeft w:val="720"/>
          <w:marRight w:val="720"/>
          <w:marTop w:val="100"/>
          <w:marBottom w:val="100"/>
          <w:divBdr>
            <w:top w:val="none" w:sz="0" w:space="0" w:color="auto"/>
            <w:left w:val="none" w:sz="0" w:space="0" w:color="auto"/>
            <w:bottom w:val="none" w:sz="0" w:space="0" w:color="auto"/>
            <w:right w:val="none" w:sz="0" w:space="0" w:color="auto"/>
          </w:divBdr>
        </w:div>
        <w:div w:id="1383068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E6DBD20D757545AF02A2E588291890" ma:contentTypeVersion="12" ma:contentTypeDescription="Crear nuevo documento." ma:contentTypeScope="" ma:versionID="c63071321cbd24b60e2192a7a6677b65">
  <xsd:schema xmlns:xsd="http://www.w3.org/2001/XMLSchema" xmlns:xs="http://www.w3.org/2001/XMLSchema" xmlns:p="http://schemas.microsoft.com/office/2006/metadata/properties" xmlns:ns2="4f651edf-af62-4849-8ce9-4d8a25c0f176" xmlns:ns3="8e5bfaad-f657-477f-8da3-ab12b0f1f0a1" targetNamespace="http://schemas.microsoft.com/office/2006/metadata/properties" ma:root="true" ma:fieldsID="8a834007a2b0aa2335b49861ac733a11" ns2:_="" ns3:_="">
    <xsd:import namespace="4f651edf-af62-4849-8ce9-4d8a25c0f176"/>
    <xsd:import namespace="8e5bfaad-f657-477f-8da3-ab12b0f1f0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51edf-af62-4849-8ce9-4d8a25c0f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aef40d5-b715-412d-bec7-270c5812204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5bfaad-f657-477f-8da3-ab12b0f1f0a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9f5758-2fa4-47ef-8c8c-f2f543a76a77}" ma:internalName="TaxCatchAll" ma:showField="CatchAllData" ma:web="8e5bfaad-f657-477f-8da3-ab12b0f1f0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e5bfaad-f657-477f-8da3-ab12b0f1f0a1" xsi:nil="true"/>
    <lcf76f155ced4ddcb4097134ff3c332f xmlns="4f651edf-af62-4849-8ce9-4d8a25c0f17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873D8B-0324-4ED3-AD81-9F1EBDB62061}">
  <ds:schemaRefs>
    <ds:schemaRef ds:uri="http://schemas.microsoft.com/sharepoint/v3/contenttype/forms"/>
  </ds:schemaRefs>
</ds:datastoreItem>
</file>

<file path=customXml/itemProps2.xml><?xml version="1.0" encoding="utf-8"?>
<ds:datastoreItem xmlns:ds="http://schemas.openxmlformats.org/officeDocument/2006/customXml" ds:itemID="{820FBFE8-4AE8-4CD3-9DB3-A1451FF4A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51edf-af62-4849-8ce9-4d8a25c0f176"/>
    <ds:schemaRef ds:uri="8e5bfaad-f657-477f-8da3-ab12b0f1f0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B06195-2814-4B6E-9E03-EC5A8D4CADB4}">
  <ds:schemaRefs>
    <ds:schemaRef ds:uri="4f651edf-af62-4849-8ce9-4d8a25c0f176"/>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purl.org/dc/dcmitype/"/>
    <ds:schemaRef ds:uri="http://schemas.openxmlformats.org/package/2006/metadata/core-properties"/>
    <ds:schemaRef ds:uri="8e5bfaad-f657-477f-8da3-ab12b0f1f0a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2308</Words>
  <Characters>12699</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Sastoque</dc:creator>
  <cp:keywords/>
  <dc:description/>
  <cp:lastModifiedBy>Armando Arias</cp:lastModifiedBy>
  <cp:revision>6</cp:revision>
  <dcterms:created xsi:type="dcterms:W3CDTF">2025-06-04T02:15:00Z</dcterms:created>
  <dcterms:modified xsi:type="dcterms:W3CDTF">2025-07-31T00:34:00Z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0x010100C9E6DBD20D757545AF02A2E588291890</vt:lpwstr>
  </property>
  <property fmtid="{D5CDD505-2E9C-101B-9397-08002B2CF9AE}" pid="3" name="MediaServiceImageTags">
    <vt:lpwstr/>
  </property>
</Properties>
</file>